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kern w:val="0"/>
                <w:sz w:val="21"/>
                <w:szCs w:val="21"/>
              </w:rPr>
            </w:pPr>
            <w:bookmarkStart w:id="0" w:name="ICS"/>
            <w:r>
              <w:rPr>
                <w:rFonts w:ascii="黑体" w:hAnsi="黑体" w:eastAsia="黑体"/>
                <w:kern w:val="0"/>
                <w:sz w:val="21"/>
                <w:szCs w:val="21"/>
              </w:rPr>
              <w:fldChar w:fldCharType="begin">
                <w:ffData>
                  <w:name w:val="ICS"/>
                  <w:enabled/>
                  <w:calcOnExit w:val="0"/>
                  <w:textInput>
                    <w:default w:val="点击此处添加I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 xml:space="preserve"> </w:t>
            </w:r>
            <w:r>
              <w:rPr>
                <w:rFonts w:ascii="黑体" w:hAnsi="黑体"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bookmarkStart w:id="1" w:name="CSDN"/>
            <w:r>
              <w:rPr>
                <w:rFonts w:ascii="黑体" w:hAnsi="黑体" w:eastAsia="黑体"/>
                <w:kern w:val="0"/>
                <w:sz w:val="21"/>
                <w:szCs w:val="21"/>
              </w:rPr>
              <w:fldChar w:fldCharType="begin">
                <w:ffData>
                  <w:name w:val="CSDN"/>
                  <w:enabled/>
                  <w:calcOnExit w:val="0"/>
                  <w:textInput>
                    <w:default w:val="点击此处添加C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点击此处添加CCS号</w:t>
            </w:r>
            <w:r>
              <w:rPr>
                <w:rFonts w:ascii="黑体" w:hAnsi="黑体"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3"/>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黑体" w:hAnsi="黑体" w:eastAsia="黑体"/>
          <w:b w:val="0"/>
          <w:bCs w:val="0"/>
          <w:sz w:val="48"/>
          <w:szCs w:val="48"/>
        </w:rPr>
      </w:pPr>
      <w:bookmarkStart w:id="4" w:name="c2"/>
      <w:r>
        <w:rPr>
          <w:rFonts w:ascii="黑体" w:eastAsia="黑体"/>
          <w:b w:val="0"/>
          <w:sz w:val="48"/>
        </w:rPr>
        <w:fldChar w:fldCharType="begin">
          <w:ffData>
            <w:name w:val="c2"/>
            <w:enabled/>
            <w:calcOnExit w:val="0"/>
            <w:textInput/>
          </w:ffData>
        </w:fldChar>
      </w:r>
      <w:r>
        <w:rPr>
          <w:rFonts w:ascii="黑体" w:eastAsia="黑体"/>
          <w:b w:val="0"/>
          <w:sz w:val="48"/>
        </w:rPr>
        <w:instrText xml:space="preserve"> FORMTEXT </w:instrText>
      </w:r>
      <w:r>
        <w:rPr>
          <w:rFonts w:ascii="黑体" w:eastAsia="黑体"/>
          <w:b w:val="0"/>
          <w:sz w:val="48"/>
        </w:rPr>
        <w:fldChar w:fldCharType="separate"/>
      </w:r>
      <w:r>
        <w:rPr>
          <w:rFonts w:hint="eastAsia" w:ascii="黑体" w:eastAsia="黑体"/>
          <w:b w:val="0"/>
          <w:sz w:val="48"/>
        </w:rPr>
        <w:t>陕</w:t>
      </w:r>
      <w:r>
        <w:rPr>
          <w:rFonts w:ascii="黑体" w:eastAsia="黑体"/>
          <w:b w:val="0"/>
          <w:sz w:val="48"/>
        </w:rPr>
        <w:t>西省</w:t>
      </w:r>
      <w:r>
        <w:rPr>
          <w:rFonts w:ascii="黑体" w:eastAsia="黑体"/>
          <w:b w:val="0"/>
          <w:sz w:val="48"/>
        </w:rPr>
        <w:fldChar w:fldCharType="end"/>
      </w:r>
      <w:bookmarkEnd w:id="4"/>
      <w:r>
        <w:rPr>
          <w:rFonts w:hint="eastAsia" w:ascii="黑体" w:hAnsi="黑体" w:eastAsia="黑体"/>
          <w:b w:val="0"/>
          <w:bCs w:val="0"/>
          <w:sz w:val="48"/>
          <w:szCs w:val="48"/>
        </w:rPr>
        <w:t>地方标准</w:t>
      </w:r>
      <w:bookmarkEnd w:id="2"/>
    </w:p>
    <w:p>
      <w:pPr>
        <w:pStyle w:val="200"/>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61/T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7"/>
    </w:p>
    <w:p>
      <w:pPr>
        <w:pStyle w:val="201"/>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黑体" w:hAnsi="黑体" w:eastAsia="黑体"/>
          <w:b w:val="0"/>
          <w:bCs w:val="0"/>
        </w:rPr>
      </w:pPr>
    </w:p>
    <w:p>
      <w:pPr>
        <w:pStyle w:val="202"/>
        <w:framePr w:h="6974" w:hRule="exact" w:x="1419"/>
      </w:pPr>
      <w:r>
        <w:fldChar w:fldCharType="begin">
          <w:ffData>
            <w:name w:val="CSTD_NAME"/>
            <w:enabled/>
            <w:calcOnExit w:val="0"/>
            <w:textInput>
              <w:default w:val="猕猴桃生产 第8部分：分等分级"/>
            </w:textInput>
          </w:ffData>
        </w:fldChar>
      </w:r>
      <w:bookmarkStart w:id="9" w:name="CSTD_NAME"/>
      <w:r>
        <w:instrText xml:space="preserve"> FORMTEXT </w:instrText>
      </w:r>
      <w:r>
        <w:fldChar w:fldCharType="separate"/>
      </w:r>
      <w:r>
        <w:t>猕猴桃生产 第8部分：分等分级</w:t>
      </w:r>
      <w:r>
        <w:fldChar w:fldCharType="end"/>
      </w:r>
      <w:bookmarkEnd w:id="9"/>
    </w:p>
    <w:p>
      <w:pPr>
        <w:framePr w:w="9639" w:h="6974" w:hRule="exact" w:wrap="around" w:vAnchor="page" w:hAnchor="page" w:x="1419" w:y="6408"/>
        <w:ind w:left="-1418"/>
      </w:pPr>
    </w:p>
    <w:p>
      <w:pPr>
        <w:framePr w:w="9639" w:h="6974" w:hRule="exact" w:wrap="around" w:vAnchor="page" w:hAnchor="page" w:x="1419" w:y="6408"/>
        <w:spacing w:line="760" w:lineRule="exact"/>
        <w:ind w:left="-1418"/>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9"/>
        <w:framePr w:y="14176"/>
      </w:pPr>
      <w:bookmarkStart w:id="16"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6"/>
        <w:framePr w:h="584" w:hRule="exact" w:hSpace="181" w:vSpace="181" w:y="15027"/>
        <w:rPr>
          <w:rFonts w:hAnsi="黑体"/>
        </w:rPr>
      </w:pPr>
      <w:bookmarkStart w:id="19" w:name="fm"/>
      <w:r>
        <w:rPr>
          <w:rFonts w:hAnsi="黑体"/>
          <w:sz w:val="28"/>
        </w:rPr>
        <w:fldChar w:fldCharType="begin">
          <w:ffData>
            <w:name w:val="fm"/>
            <w:enabled/>
            <w:calcOnExit w:val="0"/>
            <w:textInput/>
          </w:ffData>
        </w:fldChar>
      </w:r>
      <w:r>
        <w:rPr>
          <w:rFonts w:hAnsi="黑体"/>
          <w:sz w:val="28"/>
        </w:rPr>
        <w:instrText xml:space="preserve"> FORMTEXT </w:instrText>
      </w:r>
      <w:r>
        <w:rPr>
          <w:rFonts w:hAnsi="黑体"/>
          <w:sz w:val="28"/>
        </w:rPr>
        <w:fldChar w:fldCharType="separate"/>
      </w:r>
      <w:r>
        <w:rPr>
          <w:rFonts w:hint="eastAsia" w:hAnsi="黑体"/>
          <w:sz w:val="28"/>
        </w:rPr>
        <w:t>陕西省市场监督管理局</w:t>
      </w:r>
      <w:r>
        <w:rPr>
          <w:rFonts w:hAnsi="黑体"/>
          <w:sz w:val="28"/>
        </w:rPr>
        <w:fldChar w:fldCharType="end"/>
      </w:r>
      <w:bookmarkEnd w:id="19"/>
      <w:r>
        <w:rPr>
          <w:rFonts w:ascii="Times New Roman"/>
          <w:sz w:val="28"/>
        </w:rPr>
        <w:t>  </w:t>
      </w:r>
      <w:r>
        <w:rPr>
          <w:rStyle w:val="234"/>
          <w:rFonts w:hint="eastAsia" w:hAnsi="黑体"/>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pPr>
      <w:bookmarkStart w:id="20" w:name="BookMark2"/>
      <w:bookmarkStart w:id="21" w:name="_Hlk183881796"/>
      <w:r>
        <w:rPr>
          <w:spacing w:val="320"/>
        </w:rPr>
        <w:t>前</w:t>
      </w:r>
      <w:r>
        <w:t>言</w:t>
      </w:r>
    </w:p>
    <w:p>
      <w:pPr>
        <w:pStyle w:val="62"/>
        <w:ind w:firstLine="420"/>
      </w:pPr>
      <w:r>
        <w:rPr>
          <w:rFonts w:hint="eastAsia"/>
        </w:rPr>
        <w:t>本文件依据GB/T 1.1 《标准化工作导则 第1部分：标准的结构和编写》给出的规则起草。</w:t>
      </w:r>
    </w:p>
    <w:p>
      <w:pPr>
        <w:pStyle w:val="62"/>
        <w:ind w:firstLine="420"/>
      </w:pPr>
      <w:r>
        <w:rPr>
          <w:rFonts w:hint="eastAsia"/>
        </w:rPr>
        <w:t>本文件由陕西省农业农村厅提出并归口。</w:t>
      </w:r>
    </w:p>
    <w:p>
      <w:pPr>
        <w:pStyle w:val="62"/>
        <w:ind w:firstLine="420"/>
      </w:pPr>
      <w:r>
        <w:rPr>
          <w:rFonts w:hint="eastAsia"/>
        </w:rPr>
        <w:t>本文件起草单位：陕西省果业中心、西北农林科技大学、眉县农业农村局、杨凌梦绿生态农业有限责任公司。</w:t>
      </w:r>
    </w:p>
    <w:p>
      <w:pPr>
        <w:pStyle w:val="62"/>
        <w:ind w:firstLine="420"/>
      </w:pPr>
      <w:r>
        <w:rPr>
          <w:rFonts w:hint="eastAsia"/>
        </w:rPr>
        <w:t>本文件主要起草人：</w:t>
      </w:r>
      <w:r>
        <w:rPr>
          <w:rFonts w:hint="eastAsia"/>
          <w:lang w:eastAsia="zh-CN"/>
        </w:rPr>
        <w:t>杨建伟、</w:t>
      </w:r>
      <w:r>
        <w:rPr>
          <w:rFonts w:hint="eastAsia"/>
        </w:rPr>
        <w:t>刘占德、刘艳飞、杨建伟、王胜虎、贺浩浩、王希良、屈学农、张浩、陈鑫、高志雄。</w:t>
      </w:r>
    </w:p>
    <w:p>
      <w:pPr>
        <w:pStyle w:val="62"/>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bookmarkStart w:id="48" w:name="_GoBack"/>
      <w:bookmarkEnd w:id="48"/>
    </w:p>
    <w:bookmarkEnd w:id="20"/>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sdtPr>
      <w:sdtContent>
        <w:p>
          <w:pPr>
            <w:pStyle w:val="182"/>
            <w:spacing w:before="312" w:beforeLines="100" w:after="686" w:afterLines="220"/>
          </w:pPr>
          <w:bookmarkStart w:id="23" w:name="NEW_STAND_NAME"/>
          <w:r>
            <w:rPr>
              <w:rFonts w:hint="eastAsia"/>
            </w:rPr>
            <w:t>猕猴桃生产 第</w:t>
          </w:r>
          <w:r>
            <w:t>8</w:t>
          </w:r>
          <w:r>
            <w:rPr>
              <w:rFonts w:hint="eastAsia"/>
            </w:rPr>
            <w:t>部分：分等分级</w:t>
          </w:r>
        </w:p>
      </w:sdtContent>
    </w:sdt>
    <w:bookmarkEnd w:id="23"/>
    <w:p>
      <w:pPr>
        <w:pStyle w:val="109"/>
        <w:spacing w:before="312" w:after="312"/>
      </w:pPr>
      <w:bookmarkStart w:id="24" w:name="_Toc24884211"/>
      <w:bookmarkStart w:id="25" w:name="_Toc24884218"/>
      <w:bookmarkStart w:id="26" w:name="_Toc97191423"/>
      <w:bookmarkStart w:id="27" w:name="_Toc26986530"/>
      <w:bookmarkStart w:id="28" w:name="_Toc26648465"/>
      <w:bookmarkStart w:id="29" w:name="_Toc17233333"/>
      <w:bookmarkStart w:id="30" w:name="_Toc26718930"/>
      <w:bookmarkStart w:id="31" w:name="_Toc17233325"/>
      <w:bookmarkStart w:id="32" w:name="_Toc26986771"/>
      <w:r>
        <w:rPr>
          <w:rFonts w:hint="eastAsia"/>
        </w:rPr>
        <w:t>范围</w:t>
      </w:r>
      <w:bookmarkEnd w:id="24"/>
      <w:bookmarkEnd w:id="25"/>
      <w:bookmarkEnd w:id="26"/>
      <w:bookmarkEnd w:id="27"/>
      <w:bookmarkEnd w:id="28"/>
      <w:bookmarkEnd w:id="29"/>
      <w:bookmarkEnd w:id="30"/>
      <w:bookmarkEnd w:id="31"/>
      <w:bookmarkEnd w:id="32"/>
    </w:p>
    <w:p>
      <w:pPr>
        <w:pStyle w:val="62"/>
        <w:ind w:firstLine="420"/>
      </w:pPr>
      <w:bookmarkStart w:id="33" w:name="_Toc17233326"/>
      <w:bookmarkStart w:id="34" w:name="_Toc24884212"/>
      <w:bookmarkStart w:id="35" w:name="_Toc26648466"/>
      <w:bookmarkStart w:id="36" w:name="_Toc24884219"/>
      <w:bookmarkStart w:id="37" w:name="_Toc17233334"/>
      <w:r>
        <w:rPr>
          <w:rFonts w:hint="eastAsia"/>
        </w:rPr>
        <w:t>本文件规定了猕猴桃的鲜果质量、分等分级、试验方法等要求。</w:t>
      </w:r>
    </w:p>
    <w:p>
      <w:pPr>
        <w:pStyle w:val="62"/>
        <w:ind w:firstLine="420"/>
      </w:pPr>
      <w:r>
        <w:rPr>
          <w:rFonts w:hint="eastAsia"/>
        </w:rPr>
        <w:t>本文件适用于美味猕猴桃和中华猕猴桃的果实分级。</w:t>
      </w:r>
    </w:p>
    <w:p>
      <w:pPr>
        <w:pStyle w:val="109"/>
        <w:spacing w:before="312" w:after="312"/>
      </w:pPr>
      <w:bookmarkStart w:id="38" w:name="_Toc26718931"/>
      <w:bookmarkStart w:id="39" w:name="_Toc26986531"/>
      <w:bookmarkStart w:id="40" w:name="_Toc97191424"/>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2"/>
            <w:ind w:firstLine="420"/>
          </w:pPr>
          <w:r>
            <w:rPr>
              <w:rFonts w:hint="eastAsia"/>
            </w:rPr>
            <w:t>本文件没有规范性引用文件。</w:t>
          </w:r>
        </w:p>
      </w:sdtContent>
    </w:sdt>
    <w:p>
      <w:pPr>
        <w:pStyle w:val="109"/>
        <w:spacing w:before="312" w:after="312"/>
      </w:pPr>
      <w:bookmarkStart w:id="42" w:name="_Toc97191425"/>
      <w:r>
        <w:rPr>
          <w:rFonts w:hint="eastAsia"/>
          <w:szCs w:val="21"/>
        </w:rPr>
        <w:t>术语和定义</w:t>
      </w:r>
      <w:bookmarkEnd w:id="42"/>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2"/>
            <w:ind w:firstLine="420"/>
          </w:pPr>
          <w:r>
            <w:t>下列术语和定义适用于本文件。</w:t>
          </w:r>
        </w:p>
      </w:sdtContent>
    </w:sdt>
    <w:bookmarkEnd w:id="22"/>
    <w:p>
      <w:pPr>
        <w:pStyle w:val="110"/>
        <w:spacing w:before="156" w:after="156"/>
        <w:ind w:left="0"/>
      </w:pPr>
      <w:bookmarkStart w:id="43" w:name="BookMark8"/>
      <w:bookmarkStart w:id="44" w:name="BookMark5"/>
      <w:r>
        <w:rPr>
          <w:rFonts w:hint="eastAsia"/>
        </w:rPr>
        <w:t>品种典型特征</w:t>
      </w:r>
    </w:p>
    <w:p>
      <w:pPr>
        <w:widowControl/>
        <w:tabs>
          <w:tab w:val="center" w:pos="4201"/>
          <w:tab w:val="right" w:leader="dot" w:pos="9298"/>
        </w:tabs>
        <w:autoSpaceDE w:val="0"/>
        <w:autoSpaceDN w:val="0"/>
        <w:spacing w:line="360" w:lineRule="exact"/>
        <w:ind w:firstLine="420" w:firstLineChars="200"/>
      </w:pPr>
      <w:r>
        <w:rPr>
          <w:rFonts w:hint="eastAsia"/>
        </w:rPr>
        <w:t>果实达到采收成熟度时固有的形状、色泽和内在品质。</w:t>
      </w:r>
    </w:p>
    <w:p>
      <w:pPr>
        <w:pStyle w:val="110"/>
        <w:spacing w:before="156" w:after="156"/>
        <w:ind w:left="0"/>
      </w:pPr>
      <w:r>
        <w:rPr>
          <w:rFonts w:hint="eastAsia"/>
        </w:rPr>
        <w:t>感官品质</w:t>
      </w:r>
    </w:p>
    <w:p>
      <w:pPr>
        <w:widowControl/>
        <w:tabs>
          <w:tab w:val="center" w:pos="4201"/>
          <w:tab w:val="right" w:leader="dot" w:pos="9298"/>
        </w:tabs>
        <w:autoSpaceDE w:val="0"/>
        <w:autoSpaceDN w:val="0"/>
        <w:spacing w:line="360" w:lineRule="exact"/>
        <w:ind w:firstLine="420" w:firstLineChars="200"/>
      </w:pPr>
      <w:r>
        <w:rPr>
          <w:rFonts w:hint="eastAsia"/>
        </w:rPr>
        <w:t>利用人体感觉器官可以感知的果实表面、形态和色泽等外在品质，以及果肉质地、香气等内在品质。</w:t>
      </w:r>
    </w:p>
    <w:p>
      <w:pPr>
        <w:pStyle w:val="110"/>
        <w:spacing w:before="156" w:after="156"/>
        <w:ind w:left="0"/>
      </w:pPr>
      <w:r>
        <w:rPr>
          <w:rFonts w:hint="eastAsia"/>
        </w:rPr>
        <w:t>内在品质</w:t>
      </w:r>
    </w:p>
    <w:p>
      <w:pPr>
        <w:widowControl/>
        <w:tabs>
          <w:tab w:val="center" w:pos="4201"/>
          <w:tab w:val="right" w:leader="dot" w:pos="9298"/>
        </w:tabs>
        <w:autoSpaceDE w:val="0"/>
        <w:autoSpaceDN w:val="0"/>
        <w:spacing w:line="360" w:lineRule="exact"/>
        <w:ind w:firstLine="420" w:firstLineChars="200"/>
      </w:pPr>
      <w:r>
        <w:rPr>
          <w:rFonts w:hint="eastAsia"/>
        </w:rPr>
        <w:t>利用仪器设备检测的果实质地、硬度、可溶性固形物、Vc含量、干物质等生理指标。</w:t>
      </w:r>
    </w:p>
    <w:p>
      <w:pPr>
        <w:pStyle w:val="110"/>
        <w:spacing w:before="156" w:after="156"/>
        <w:ind w:left="0"/>
      </w:pPr>
      <w:r>
        <w:rPr>
          <w:rFonts w:hint="eastAsia"/>
        </w:rPr>
        <w:t>缺陷果</w:t>
      </w:r>
    </w:p>
    <w:p>
      <w:pPr>
        <w:widowControl/>
        <w:tabs>
          <w:tab w:val="center" w:pos="4201"/>
          <w:tab w:val="right" w:leader="dot" w:pos="9298"/>
        </w:tabs>
        <w:autoSpaceDE w:val="0"/>
        <w:autoSpaceDN w:val="0"/>
        <w:spacing w:line="360" w:lineRule="exact"/>
        <w:ind w:firstLine="420" w:firstLineChars="200"/>
      </w:pPr>
      <w:r>
        <w:rPr>
          <w:rFonts w:hint="eastAsia"/>
        </w:rPr>
        <w:t>由于自然因素和人为机械作用及其他病虫害因素，对果实外在品质和内在品质造成各种损失的果实，如畸形、污点（渍）、物理外伤、晒伤、病斑等</w:t>
      </w:r>
    </w:p>
    <w:p>
      <w:pPr>
        <w:pStyle w:val="109"/>
        <w:spacing w:before="312" w:after="312"/>
        <w:rPr>
          <w:szCs w:val="21"/>
        </w:rPr>
      </w:pPr>
      <w:r>
        <w:rPr>
          <w:rFonts w:hint="eastAsia"/>
          <w:szCs w:val="21"/>
        </w:rPr>
        <w:t>质量</w:t>
      </w:r>
      <w:r>
        <w:rPr>
          <w:szCs w:val="21"/>
        </w:rPr>
        <w:t>要求</w:t>
      </w:r>
    </w:p>
    <w:p>
      <w:pPr>
        <w:pStyle w:val="110"/>
        <w:spacing w:before="156" w:after="156"/>
        <w:ind w:left="0"/>
      </w:pPr>
      <w:r>
        <w:rPr>
          <w:rFonts w:hint="eastAsia"/>
        </w:rPr>
        <w:t>感官</w:t>
      </w:r>
      <w:r>
        <w:t>质量</w:t>
      </w:r>
    </w:p>
    <w:p>
      <w:pPr>
        <w:widowControl/>
        <w:tabs>
          <w:tab w:val="center" w:pos="4201"/>
          <w:tab w:val="right" w:leader="dot" w:pos="9298"/>
        </w:tabs>
        <w:autoSpaceDE w:val="0"/>
        <w:autoSpaceDN w:val="0"/>
        <w:spacing w:line="360" w:lineRule="exact"/>
        <w:ind w:firstLine="420" w:firstLineChars="200"/>
        <w:rPr>
          <w:kern w:val="0"/>
        </w:rPr>
      </w:pPr>
      <w:r>
        <w:rPr>
          <w:kern w:val="0"/>
        </w:rPr>
        <w:t>具有品种典型特征，徐香</w:t>
      </w:r>
      <w:r>
        <w:rPr>
          <w:rFonts w:hint="eastAsia"/>
          <w:kern w:val="0"/>
        </w:rPr>
        <w:t>、翠香</w:t>
      </w:r>
      <w:r>
        <w:rPr>
          <w:kern w:val="0"/>
        </w:rPr>
        <w:t>等主栽品种具体</w:t>
      </w:r>
      <w:r>
        <w:rPr>
          <w:rFonts w:hint="eastAsia"/>
          <w:kern w:val="0"/>
        </w:rPr>
        <w:t>感官</w:t>
      </w:r>
      <w:r>
        <w:rPr>
          <w:kern w:val="0"/>
        </w:rPr>
        <w:t>品质要求如表</w:t>
      </w:r>
      <w:r>
        <w:rPr>
          <w:rFonts w:hint="eastAsia"/>
          <w:kern w:val="0"/>
        </w:rPr>
        <w:t>A</w:t>
      </w:r>
      <w:r>
        <w:rPr>
          <w:kern w:val="0"/>
        </w:rPr>
        <w:t>.</w:t>
      </w:r>
      <w:r>
        <w:rPr>
          <w:rFonts w:hint="eastAsia"/>
          <w:kern w:val="0"/>
        </w:rPr>
        <w:t>1</w:t>
      </w:r>
      <w:r>
        <w:rPr>
          <w:kern w:val="0"/>
        </w:rPr>
        <w:t>。</w:t>
      </w:r>
    </w:p>
    <w:p>
      <w:pPr>
        <w:pStyle w:val="110"/>
        <w:spacing w:before="156" w:after="156"/>
        <w:ind w:left="0"/>
      </w:pPr>
      <w:r>
        <w:rPr>
          <w:rFonts w:hint="eastAsia"/>
        </w:rPr>
        <w:t>果实</w:t>
      </w:r>
      <w:r>
        <w:t>内在品质指标</w:t>
      </w:r>
    </w:p>
    <w:p>
      <w:pPr>
        <w:widowControl/>
        <w:tabs>
          <w:tab w:val="center" w:pos="4201"/>
          <w:tab w:val="right" w:leader="dot" w:pos="9298"/>
        </w:tabs>
        <w:autoSpaceDE w:val="0"/>
        <w:autoSpaceDN w:val="0"/>
        <w:spacing w:line="360" w:lineRule="exact"/>
        <w:ind w:firstLine="420" w:firstLineChars="200"/>
        <w:rPr>
          <w:kern w:val="0"/>
        </w:rPr>
      </w:pPr>
      <w:r>
        <w:rPr>
          <w:rFonts w:hint="eastAsia"/>
          <w:kern w:val="0"/>
        </w:rPr>
        <w:t>鲜果的生理成熟（采收）品质指标和完全成熟（可食状态）品质指标，应符合表A</w:t>
      </w:r>
      <w:r>
        <w:rPr>
          <w:kern w:val="0"/>
        </w:rPr>
        <w:t>.</w:t>
      </w:r>
      <w:r>
        <w:rPr>
          <w:rFonts w:hint="eastAsia"/>
          <w:kern w:val="0"/>
        </w:rPr>
        <w:t>2的规定。</w:t>
      </w:r>
    </w:p>
    <w:p>
      <w:pPr>
        <w:pStyle w:val="109"/>
        <w:spacing w:before="312" w:after="312"/>
        <w:rPr>
          <w:szCs w:val="21"/>
        </w:rPr>
      </w:pPr>
      <w:r>
        <w:rPr>
          <w:rFonts w:hint="eastAsia"/>
          <w:szCs w:val="21"/>
        </w:rPr>
        <w:t>鲜果分级</w:t>
      </w:r>
    </w:p>
    <w:p>
      <w:pPr>
        <w:widowControl/>
        <w:tabs>
          <w:tab w:val="center" w:pos="4201"/>
          <w:tab w:val="right" w:leader="dot" w:pos="9298"/>
        </w:tabs>
        <w:autoSpaceDE w:val="0"/>
        <w:autoSpaceDN w:val="0"/>
        <w:spacing w:line="360" w:lineRule="exact"/>
        <w:ind w:firstLine="420" w:firstLineChars="200"/>
        <w:rPr>
          <w:kern w:val="0"/>
        </w:rPr>
      </w:pPr>
      <w:r>
        <w:rPr>
          <w:kern w:val="0"/>
        </w:rPr>
        <w:t>分为特级、一级和二级，各等级指标应符合表1规定。</w:t>
      </w:r>
    </w:p>
    <w:p>
      <w:pPr>
        <w:pStyle w:val="117"/>
        <w:spacing w:before="156" w:after="156"/>
      </w:pPr>
      <w:r>
        <w:rPr>
          <w:rFonts w:hint="eastAsia"/>
        </w:rPr>
        <w:t>猕猴桃鲜果等级指标要求</w:t>
      </w:r>
    </w:p>
    <w:tbl>
      <w:tblPr>
        <w:tblStyle w:val="36"/>
        <w:tblpPr w:leftFromText="180" w:rightFromText="180" w:vertAnchor="text" w:tblpXSpec="center" w:tblpY="1"/>
        <w:tblOverlap w:val="never"/>
        <w:tblW w:w="1075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91"/>
        <w:gridCol w:w="798"/>
        <w:gridCol w:w="65"/>
        <w:gridCol w:w="722"/>
        <w:gridCol w:w="135"/>
        <w:gridCol w:w="660"/>
        <w:gridCol w:w="196"/>
        <w:gridCol w:w="604"/>
        <w:gridCol w:w="738"/>
        <w:gridCol w:w="49"/>
        <w:gridCol w:w="785"/>
        <w:gridCol w:w="237"/>
        <w:gridCol w:w="550"/>
        <w:gridCol w:w="262"/>
        <w:gridCol w:w="598"/>
        <w:gridCol w:w="710"/>
        <w:gridCol w:w="241"/>
        <w:gridCol w:w="557"/>
        <w:gridCol w:w="295"/>
        <w:gridCol w:w="495"/>
        <w:gridCol w:w="146"/>
        <w:gridCol w:w="6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5" w:hRule="exact"/>
        </w:trPr>
        <w:tc>
          <w:tcPr>
            <w:tcW w:w="1291" w:type="dxa"/>
            <w:vMerge w:val="restart"/>
            <w:shd w:val="clear" w:color="auto" w:fill="auto"/>
            <w:vAlign w:val="center"/>
          </w:tcPr>
          <w:p>
            <w:pPr>
              <w:jc w:val="center"/>
              <w:rPr>
                <w:rFonts w:ascii="宋体" w:hAnsi="宋体"/>
                <w:sz w:val="18"/>
                <w:szCs w:val="18"/>
              </w:rPr>
            </w:pPr>
            <w:r>
              <w:rPr>
                <w:rFonts w:ascii="宋体" w:hAnsi="宋体"/>
                <w:sz w:val="18"/>
                <w:szCs w:val="18"/>
              </w:rPr>
              <w:t>等级</w:t>
            </w:r>
          </w:p>
          <w:p>
            <w:pPr>
              <w:jc w:val="center"/>
              <w:rPr>
                <w:rFonts w:ascii="宋体" w:hAnsi="宋体"/>
                <w:sz w:val="18"/>
                <w:szCs w:val="18"/>
              </w:rPr>
            </w:pPr>
            <w:r>
              <w:rPr>
                <w:rFonts w:ascii="宋体" w:hAnsi="宋体"/>
                <w:sz w:val="18"/>
                <w:szCs w:val="18"/>
              </w:rPr>
              <w:t>指标</w:t>
            </w:r>
          </w:p>
        </w:tc>
        <w:tc>
          <w:tcPr>
            <w:tcW w:w="3180" w:type="dxa"/>
            <w:gridSpan w:val="7"/>
            <w:shd w:val="clear" w:color="auto" w:fill="auto"/>
            <w:vAlign w:val="center"/>
          </w:tcPr>
          <w:p>
            <w:pPr>
              <w:jc w:val="center"/>
              <w:rPr>
                <w:rFonts w:ascii="宋体" w:hAnsi="宋体"/>
                <w:sz w:val="18"/>
                <w:szCs w:val="18"/>
              </w:rPr>
            </w:pPr>
            <w:r>
              <w:rPr>
                <w:rFonts w:ascii="宋体" w:hAnsi="宋体"/>
                <w:sz w:val="18"/>
                <w:szCs w:val="18"/>
              </w:rPr>
              <w:t>特级</w:t>
            </w:r>
          </w:p>
        </w:tc>
        <w:tc>
          <w:tcPr>
            <w:tcW w:w="3219" w:type="dxa"/>
            <w:gridSpan w:val="7"/>
            <w:shd w:val="clear" w:color="auto" w:fill="auto"/>
            <w:vAlign w:val="center"/>
          </w:tcPr>
          <w:p>
            <w:pPr>
              <w:jc w:val="center"/>
              <w:rPr>
                <w:rFonts w:ascii="宋体" w:hAnsi="宋体"/>
                <w:sz w:val="18"/>
                <w:szCs w:val="18"/>
              </w:rPr>
            </w:pPr>
            <w:r>
              <w:rPr>
                <w:rFonts w:ascii="宋体" w:hAnsi="宋体"/>
                <w:sz w:val="18"/>
                <w:szCs w:val="18"/>
              </w:rPr>
              <w:t>一级</w:t>
            </w:r>
          </w:p>
        </w:tc>
        <w:tc>
          <w:tcPr>
            <w:tcW w:w="3061" w:type="dxa"/>
            <w:gridSpan w:val="7"/>
            <w:shd w:val="clear" w:color="auto" w:fill="auto"/>
            <w:vAlign w:val="center"/>
          </w:tcPr>
          <w:p>
            <w:pPr>
              <w:jc w:val="center"/>
              <w:rPr>
                <w:rFonts w:ascii="宋体" w:hAnsi="宋体"/>
                <w:sz w:val="18"/>
                <w:szCs w:val="18"/>
              </w:rPr>
            </w:pPr>
            <w:r>
              <w:rPr>
                <w:rFonts w:ascii="宋体" w:hAnsi="宋体"/>
                <w:sz w:val="18"/>
                <w:szCs w:val="18"/>
              </w:rPr>
              <w:t>二级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9" w:hRule="exact"/>
        </w:trPr>
        <w:tc>
          <w:tcPr>
            <w:tcW w:w="1291" w:type="dxa"/>
            <w:vMerge w:val="continue"/>
            <w:shd w:val="clear" w:color="auto" w:fill="auto"/>
            <w:vAlign w:val="center"/>
          </w:tcPr>
          <w:p>
            <w:pPr>
              <w:jc w:val="center"/>
              <w:rPr>
                <w:rFonts w:ascii="宋体" w:hAnsi="宋体"/>
                <w:sz w:val="18"/>
                <w:szCs w:val="18"/>
              </w:rPr>
            </w:pPr>
          </w:p>
        </w:tc>
        <w:tc>
          <w:tcPr>
            <w:tcW w:w="798" w:type="dxa"/>
            <w:shd w:val="clear" w:color="auto" w:fill="auto"/>
            <w:vAlign w:val="center"/>
          </w:tcPr>
          <w:p>
            <w:pPr>
              <w:jc w:val="center"/>
              <w:rPr>
                <w:rFonts w:ascii="宋体" w:hAnsi="宋体"/>
                <w:sz w:val="18"/>
                <w:szCs w:val="18"/>
              </w:rPr>
            </w:pPr>
            <w:r>
              <w:rPr>
                <w:rFonts w:ascii="宋体" w:hAnsi="宋体"/>
                <w:sz w:val="18"/>
                <w:szCs w:val="18"/>
              </w:rPr>
              <w:t>徐香</w:t>
            </w:r>
          </w:p>
        </w:tc>
        <w:tc>
          <w:tcPr>
            <w:tcW w:w="787" w:type="dxa"/>
            <w:gridSpan w:val="2"/>
            <w:shd w:val="clear" w:color="auto" w:fill="auto"/>
            <w:vAlign w:val="center"/>
          </w:tcPr>
          <w:p>
            <w:pPr>
              <w:jc w:val="center"/>
              <w:rPr>
                <w:rFonts w:ascii="宋体" w:hAnsi="宋体"/>
                <w:sz w:val="18"/>
                <w:szCs w:val="18"/>
              </w:rPr>
            </w:pPr>
            <w:r>
              <w:rPr>
                <w:rFonts w:ascii="宋体" w:hAnsi="宋体"/>
                <w:sz w:val="18"/>
                <w:szCs w:val="18"/>
              </w:rPr>
              <w:t>翠香</w:t>
            </w:r>
          </w:p>
        </w:tc>
        <w:tc>
          <w:tcPr>
            <w:tcW w:w="795" w:type="dxa"/>
            <w:gridSpan w:val="2"/>
            <w:vAlign w:val="center"/>
          </w:tcPr>
          <w:p>
            <w:pPr>
              <w:jc w:val="center"/>
              <w:rPr>
                <w:rFonts w:ascii="宋体" w:hAnsi="宋体"/>
                <w:sz w:val="18"/>
                <w:szCs w:val="18"/>
              </w:rPr>
            </w:pPr>
            <w:r>
              <w:rPr>
                <w:rFonts w:ascii="宋体" w:hAnsi="宋体"/>
                <w:sz w:val="18"/>
                <w:szCs w:val="18"/>
              </w:rPr>
              <w:t>海沃德</w:t>
            </w:r>
          </w:p>
        </w:tc>
        <w:tc>
          <w:tcPr>
            <w:tcW w:w="800" w:type="dxa"/>
            <w:gridSpan w:val="2"/>
            <w:vAlign w:val="center"/>
          </w:tcPr>
          <w:p>
            <w:pPr>
              <w:jc w:val="center"/>
              <w:rPr>
                <w:rFonts w:ascii="宋体" w:hAnsi="宋体"/>
                <w:sz w:val="18"/>
                <w:szCs w:val="18"/>
              </w:rPr>
            </w:pPr>
            <w:r>
              <w:rPr>
                <w:rFonts w:ascii="宋体" w:hAnsi="宋体"/>
                <w:sz w:val="18"/>
                <w:szCs w:val="18"/>
              </w:rPr>
              <w:t>红阳</w:t>
            </w:r>
            <w:r>
              <w:rPr>
                <w:rFonts w:hint="eastAsia" w:ascii="宋体" w:hAnsi="宋体"/>
                <w:sz w:val="18"/>
                <w:szCs w:val="18"/>
              </w:rPr>
              <w:t>/脐红</w:t>
            </w:r>
          </w:p>
        </w:tc>
        <w:tc>
          <w:tcPr>
            <w:tcW w:w="787" w:type="dxa"/>
            <w:gridSpan w:val="2"/>
            <w:shd w:val="clear" w:color="auto" w:fill="auto"/>
            <w:vAlign w:val="center"/>
          </w:tcPr>
          <w:p>
            <w:pPr>
              <w:jc w:val="center"/>
              <w:rPr>
                <w:rFonts w:ascii="宋体" w:hAnsi="宋体"/>
                <w:sz w:val="18"/>
                <w:szCs w:val="18"/>
              </w:rPr>
            </w:pPr>
            <w:r>
              <w:rPr>
                <w:rFonts w:ascii="宋体" w:hAnsi="宋体"/>
                <w:sz w:val="18"/>
                <w:szCs w:val="18"/>
              </w:rPr>
              <w:t>徐香</w:t>
            </w:r>
          </w:p>
        </w:tc>
        <w:tc>
          <w:tcPr>
            <w:tcW w:w="785" w:type="dxa"/>
            <w:shd w:val="clear" w:color="auto" w:fill="auto"/>
            <w:vAlign w:val="center"/>
          </w:tcPr>
          <w:p>
            <w:pPr>
              <w:jc w:val="center"/>
              <w:rPr>
                <w:rFonts w:ascii="宋体" w:hAnsi="宋体"/>
                <w:sz w:val="18"/>
                <w:szCs w:val="18"/>
              </w:rPr>
            </w:pPr>
            <w:r>
              <w:rPr>
                <w:rFonts w:ascii="宋体" w:hAnsi="宋体"/>
                <w:sz w:val="18"/>
                <w:szCs w:val="18"/>
              </w:rPr>
              <w:t>翠香</w:t>
            </w:r>
          </w:p>
        </w:tc>
        <w:tc>
          <w:tcPr>
            <w:tcW w:w="787" w:type="dxa"/>
            <w:gridSpan w:val="2"/>
            <w:vAlign w:val="center"/>
          </w:tcPr>
          <w:p>
            <w:pPr>
              <w:jc w:val="center"/>
              <w:rPr>
                <w:rFonts w:ascii="宋体" w:hAnsi="宋体"/>
                <w:sz w:val="18"/>
                <w:szCs w:val="18"/>
              </w:rPr>
            </w:pPr>
            <w:r>
              <w:rPr>
                <w:rFonts w:ascii="宋体" w:hAnsi="宋体"/>
                <w:sz w:val="18"/>
                <w:szCs w:val="18"/>
              </w:rPr>
              <w:t>海沃德</w:t>
            </w:r>
          </w:p>
        </w:tc>
        <w:tc>
          <w:tcPr>
            <w:tcW w:w="860" w:type="dxa"/>
            <w:gridSpan w:val="2"/>
            <w:vAlign w:val="center"/>
          </w:tcPr>
          <w:p>
            <w:pPr>
              <w:jc w:val="center"/>
              <w:rPr>
                <w:rFonts w:ascii="宋体" w:hAnsi="宋体"/>
                <w:sz w:val="18"/>
                <w:szCs w:val="18"/>
              </w:rPr>
            </w:pPr>
            <w:r>
              <w:rPr>
                <w:rFonts w:ascii="宋体" w:hAnsi="宋体"/>
                <w:sz w:val="18"/>
                <w:szCs w:val="18"/>
              </w:rPr>
              <w:t>红阳</w:t>
            </w:r>
            <w:r>
              <w:rPr>
                <w:rFonts w:hint="eastAsia" w:ascii="宋体" w:hAnsi="宋体"/>
                <w:sz w:val="18"/>
                <w:szCs w:val="18"/>
              </w:rPr>
              <w:t>/脐红</w:t>
            </w:r>
          </w:p>
        </w:tc>
        <w:tc>
          <w:tcPr>
            <w:tcW w:w="710" w:type="dxa"/>
            <w:shd w:val="clear" w:color="auto" w:fill="auto"/>
            <w:vAlign w:val="center"/>
          </w:tcPr>
          <w:p>
            <w:pPr>
              <w:jc w:val="center"/>
              <w:rPr>
                <w:rFonts w:ascii="宋体" w:hAnsi="宋体"/>
                <w:sz w:val="18"/>
                <w:szCs w:val="18"/>
              </w:rPr>
            </w:pPr>
            <w:r>
              <w:rPr>
                <w:rFonts w:ascii="宋体" w:hAnsi="宋体"/>
                <w:sz w:val="18"/>
                <w:szCs w:val="18"/>
              </w:rPr>
              <w:t>徐香</w:t>
            </w:r>
          </w:p>
        </w:tc>
        <w:tc>
          <w:tcPr>
            <w:tcW w:w="798" w:type="dxa"/>
            <w:gridSpan w:val="2"/>
            <w:shd w:val="clear" w:color="auto" w:fill="auto"/>
            <w:vAlign w:val="center"/>
          </w:tcPr>
          <w:p>
            <w:pPr>
              <w:jc w:val="center"/>
              <w:rPr>
                <w:rFonts w:ascii="宋体" w:hAnsi="宋体"/>
                <w:sz w:val="18"/>
                <w:szCs w:val="18"/>
              </w:rPr>
            </w:pPr>
            <w:r>
              <w:rPr>
                <w:rFonts w:ascii="宋体" w:hAnsi="宋体"/>
                <w:sz w:val="18"/>
                <w:szCs w:val="18"/>
              </w:rPr>
              <w:t>翠香</w:t>
            </w:r>
          </w:p>
        </w:tc>
        <w:tc>
          <w:tcPr>
            <w:tcW w:w="790" w:type="dxa"/>
            <w:gridSpan w:val="2"/>
            <w:vAlign w:val="center"/>
          </w:tcPr>
          <w:p>
            <w:pPr>
              <w:jc w:val="center"/>
              <w:rPr>
                <w:rFonts w:ascii="宋体" w:hAnsi="宋体"/>
                <w:sz w:val="18"/>
                <w:szCs w:val="18"/>
              </w:rPr>
            </w:pPr>
            <w:r>
              <w:rPr>
                <w:rFonts w:ascii="宋体" w:hAnsi="宋体"/>
                <w:sz w:val="18"/>
                <w:szCs w:val="18"/>
              </w:rPr>
              <w:t>海沃德</w:t>
            </w:r>
          </w:p>
        </w:tc>
        <w:tc>
          <w:tcPr>
            <w:tcW w:w="763" w:type="dxa"/>
            <w:gridSpan w:val="2"/>
            <w:vAlign w:val="center"/>
          </w:tcPr>
          <w:p>
            <w:pPr>
              <w:jc w:val="center"/>
              <w:rPr>
                <w:rFonts w:ascii="宋体" w:hAnsi="宋体"/>
                <w:sz w:val="18"/>
                <w:szCs w:val="18"/>
              </w:rPr>
            </w:pPr>
            <w:r>
              <w:rPr>
                <w:rFonts w:ascii="宋体" w:hAnsi="宋体"/>
                <w:sz w:val="18"/>
                <w:szCs w:val="18"/>
              </w:rPr>
              <w:t>红阳</w:t>
            </w:r>
            <w:r>
              <w:rPr>
                <w:rFonts w:hint="eastAsia" w:ascii="宋体" w:hAnsi="宋体"/>
                <w:sz w:val="18"/>
                <w:szCs w:val="18"/>
              </w:rPr>
              <w:t>/脐红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21" w:hRule="exact"/>
        </w:trPr>
        <w:tc>
          <w:tcPr>
            <w:tcW w:w="1291" w:type="dxa"/>
            <w:shd w:val="clear" w:color="auto" w:fill="auto"/>
            <w:vAlign w:val="center"/>
          </w:tcPr>
          <w:p>
            <w:pPr>
              <w:jc w:val="center"/>
              <w:rPr>
                <w:rFonts w:ascii="宋体" w:hAnsi="宋体"/>
                <w:sz w:val="18"/>
                <w:szCs w:val="18"/>
              </w:rPr>
            </w:pPr>
            <w:r>
              <w:rPr>
                <w:rFonts w:ascii="宋体" w:hAnsi="宋体"/>
                <w:sz w:val="18"/>
                <w:szCs w:val="18"/>
              </w:rPr>
              <w:t>单果重（g）</w:t>
            </w:r>
          </w:p>
        </w:tc>
        <w:tc>
          <w:tcPr>
            <w:tcW w:w="798" w:type="dxa"/>
            <w:shd w:val="clear" w:color="auto" w:fill="auto"/>
            <w:vAlign w:val="center"/>
          </w:tcPr>
          <w:p>
            <w:pPr>
              <w:jc w:val="center"/>
              <w:rPr>
                <w:rFonts w:ascii="宋体" w:hAnsi="宋体"/>
                <w:sz w:val="18"/>
                <w:szCs w:val="18"/>
              </w:rPr>
            </w:pPr>
            <w:r>
              <w:rPr>
                <w:rFonts w:ascii="宋体" w:hAnsi="宋体"/>
                <w:sz w:val="18"/>
                <w:szCs w:val="18"/>
              </w:rPr>
              <w:t>120≤</w:t>
            </w:r>
            <w:r>
              <w:rPr>
                <w:rFonts w:ascii="宋体" w:hAnsi="宋体"/>
                <w:b/>
                <w:sz w:val="18"/>
                <w:szCs w:val="18"/>
              </w:rPr>
              <w:t>·</w:t>
            </w:r>
            <w:r>
              <w:rPr>
                <w:rFonts w:ascii="宋体" w:hAnsi="宋体"/>
                <w:sz w:val="18"/>
                <w:szCs w:val="18"/>
              </w:rPr>
              <w:t>＜140</w:t>
            </w:r>
          </w:p>
        </w:tc>
        <w:tc>
          <w:tcPr>
            <w:tcW w:w="787" w:type="dxa"/>
            <w:gridSpan w:val="2"/>
            <w:shd w:val="clear" w:color="auto" w:fill="auto"/>
            <w:vAlign w:val="center"/>
          </w:tcPr>
          <w:p>
            <w:pPr>
              <w:jc w:val="center"/>
              <w:rPr>
                <w:rFonts w:ascii="宋体" w:hAnsi="宋体"/>
                <w:sz w:val="18"/>
                <w:szCs w:val="18"/>
              </w:rPr>
            </w:pPr>
            <w:r>
              <w:rPr>
                <w:rFonts w:ascii="宋体" w:hAnsi="宋体"/>
                <w:sz w:val="18"/>
                <w:szCs w:val="18"/>
              </w:rPr>
              <w:t>120≤</w:t>
            </w:r>
            <w:r>
              <w:rPr>
                <w:rFonts w:ascii="宋体" w:hAnsi="宋体"/>
                <w:b/>
                <w:sz w:val="18"/>
                <w:szCs w:val="18"/>
              </w:rPr>
              <w:t>·</w:t>
            </w:r>
            <w:r>
              <w:rPr>
                <w:rFonts w:ascii="宋体" w:hAnsi="宋体"/>
                <w:sz w:val="18"/>
                <w:szCs w:val="18"/>
              </w:rPr>
              <w:t>＜140</w:t>
            </w:r>
          </w:p>
        </w:tc>
        <w:tc>
          <w:tcPr>
            <w:tcW w:w="795" w:type="dxa"/>
            <w:gridSpan w:val="2"/>
            <w:vAlign w:val="center"/>
          </w:tcPr>
          <w:p>
            <w:pPr>
              <w:jc w:val="center"/>
              <w:rPr>
                <w:rFonts w:ascii="宋体" w:hAnsi="宋体"/>
                <w:sz w:val="18"/>
                <w:szCs w:val="18"/>
              </w:rPr>
            </w:pPr>
            <w:r>
              <w:rPr>
                <w:rFonts w:ascii="宋体" w:hAnsi="宋体"/>
                <w:sz w:val="18"/>
                <w:szCs w:val="18"/>
              </w:rPr>
              <w:t>12</w:t>
            </w:r>
            <w:r>
              <w:rPr>
                <w:rFonts w:hint="eastAsia" w:ascii="宋体" w:hAnsi="宋体"/>
                <w:sz w:val="18"/>
                <w:szCs w:val="18"/>
              </w:rPr>
              <w:t>0</w:t>
            </w:r>
            <w:r>
              <w:rPr>
                <w:rFonts w:ascii="宋体" w:hAnsi="宋体"/>
                <w:sz w:val="18"/>
                <w:szCs w:val="18"/>
              </w:rPr>
              <w:t>≤</w:t>
            </w:r>
            <w:r>
              <w:rPr>
                <w:rFonts w:ascii="宋体" w:hAnsi="宋体"/>
                <w:b/>
                <w:sz w:val="18"/>
                <w:szCs w:val="18"/>
              </w:rPr>
              <w:t>·</w:t>
            </w:r>
            <w:r>
              <w:rPr>
                <w:rFonts w:ascii="宋体" w:hAnsi="宋体"/>
                <w:sz w:val="18"/>
                <w:szCs w:val="18"/>
              </w:rPr>
              <w:t>＜140</w:t>
            </w:r>
          </w:p>
        </w:tc>
        <w:tc>
          <w:tcPr>
            <w:tcW w:w="800" w:type="dxa"/>
            <w:gridSpan w:val="2"/>
            <w:vAlign w:val="center"/>
          </w:tcPr>
          <w:p>
            <w:pPr>
              <w:jc w:val="center"/>
              <w:rPr>
                <w:rFonts w:ascii="宋体" w:hAnsi="宋体"/>
                <w:sz w:val="18"/>
                <w:szCs w:val="18"/>
              </w:rPr>
            </w:pPr>
            <w:r>
              <w:rPr>
                <w:rFonts w:ascii="宋体" w:hAnsi="宋体"/>
                <w:sz w:val="18"/>
                <w:szCs w:val="18"/>
              </w:rPr>
              <w:t>100≤</w:t>
            </w:r>
            <w:r>
              <w:rPr>
                <w:rFonts w:ascii="宋体" w:hAnsi="宋体"/>
                <w:b/>
                <w:sz w:val="18"/>
                <w:szCs w:val="18"/>
              </w:rPr>
              <w:t>·</w:t>
            </w:r>
            <w:r>
              <w:rPr>
                <w:rFonts w:ascii="宋体" w:hAnsi="宋体"/>
                <w:sz w:val="18"/>
                <w:szCs w:val="18"/>
              </w:rPr>
              <w:t>＜120</w:t>
            </w:r>
          </w:p>
        </w:tc>
        <w:tc>
          <w:tcPr>
            <w:tcW w:w="787" w:type="dxa"/>
            <w:gridSpan w:val="2"/>
            <w:shd w:val="clear" w:color="auto" w:fill="auto"/>
            <w:vAlign w:val="center"/>
          </w:tcPr>
          <w:p>
            <w:pPr>
              <w:jc w:val="center"/>
              <w:rPr>
                <w:rFonts w:ascii="宋体" w:hAnsi="宋体"/>
                <w:sz w:val="18"/>
                <w:szCs w:val="18"/>
              </w:rPr>
            </w:pPr>
            <w:r>
              <w:rPr>
                <w:rFonts w:ascii="宋体" w:hAnsi="宋体"/>
                <w:sz w:val="18"/>
                <w:szCs w:val="18"/>
              </w:rPr>
              <w:t>90≤</w:t>
            </w:r>
            <w:r>
              <w:rPr>
                <w:rFonts w:ascii="宋体" w:hAnsi="宋体"/>
                <w:b/>
                <w:sz w:val="18"/>
                <w:szCs w:val="18"/>
              </w:rPr>
              <w:t>·</w:t>
            </w:r>
            <w:r>
              <w:rPr>
                <w:rFonts w:ascii="宋体" w:hAnsi="宋体"/>
                <w:sz w:val="18"/>
                <w:szCs w:val="18"/>
              </w:rPr>
              <w:t>＜120</w:t>
            </w:r>
          </w:p>
        </w:tc>
        <w:tc>
          <w:tcPr>
            <w:tcW w:w="785" w:type="dxa"/>
            <w:shd w:val="clear" w:color="auto" w:fill="auto"/>
            <w:vAlign w:val="center"/>
          </w:tcPr>
          <w:p>
            <w:pPr>
              <w:jc w:val="center"/>
              <w:rPr>
                <w:rFonts w:ascii="宋体" w:hAnsi="宋体"/>
                <w:sz w:val="18"/>
                <w:szCs w:val="18"/>
              </w:rPr>
            </w:pPr>
            <w:r>
              <w:rPr>
                <w:rFonts w:ascii="宋体" w:hAnsi="宋体"/>
                <w:sz w:val="18"/>
                <w:szCs w:val="18"/>
              </w:rPr>
              <w:t>90≤</w:t>
            </w:r>
            <w:r>
              <w:rPr>
                <w:rFonts w:ascii="宋体" w:hAnsi="宋体"/>
                <w:b/>
                <w:sz w:val="18"/>
                <w:szCs w:val="18"/>
              </w:rPr>
              <w:t>·</w:t>
            </w:r>
            <w:r>
              <w:rPr>
                <w:rFonts w:ascii="宋体" w:hAnsi="宋体"/>
                <w:sz w:val="18"/>
                <w:szCs w:val="18"/>
              </w:rPr>
              <w:t>＜120</w:t>
            </w:r>
          </w:p>
        </w:tc>
        <w:tc>
          <w:tcPr>
            <w:tcW w:w="787" w:type="dxa"/>
            <w:gridSpan w:val="2"/>
            <w:vAlign w:val="center"/>
          </w:tcPr>
          <w:p>
            <w:pPr>
              <w:jc w:val="center"/>
              <w:rPr>
                <w:rFonts w:ascii="宋体" w:hAnsi="宋体"/>
                <w:sz w:val="18"/>
                <w:szCs w:val="18"/>
              </w:rPr>
            </w:pPr>
            <w:r>
              <w:rPr>
                <w:rFonts w:ascii="宋体" w:hAnsi="宋体"/>
                <w:sz w:val="18"/>
                <w:szCs w:val="18"/>
              </w:rPr>
              <w:t>100</w:t>
            </w:r>
            <w:r>
              <w:rPr>
                <w:rFonts w:hint="eastAsia" w:ascii="宋体" w:hAnsi="宋体"/>
                <w:sz w:val="18"/>
                <w:szCs w:val="18"/>
              </w:rPr>
              <w:t>≤</w:t>
            </w:r>
            <w:r>
              <w:rPr>
                <w:rFonts w:ascii="宋体" w:hAnsi="宋体"/>
                <w:b/>
                <w:sz w:val="18"/>
                <w:szCs w:val="18"/>
              </w:rPr>
              <w:t>·</w:t>
            </w:r>
            <w:r>
              <w:rPr>
                <w:rFonts w:ascii="宋体" w:hAnsi="宋体"/>
                <w:sz w:val="18"/>
                <w:szCs w:val="18"/>
              </w:rPr>
              <w:t>＜120</w:t>
            </w:r>
          </w:p>
        </w:tc>
        <w:tc>
          <w:tcPr>
            <w:tcW w:w="860" w:type="dxa"/>
            <w:gridSpan w:val="2"/>
            <w:vAlign w:val="center"/>
          </w:tcPr>
          <w:p>
            <w:pPr>
              <w:jc w:val="center"/>
              <w:rPr>
                <w:rFonts w:ascii="宋体" w:hAnsi="宋体"/>
                <w:sz w:val="18"/>
                <w:szCs w:val="18"/>
              </w:rPr>
            </w:pPr>
            <w:r>
              <w:rPr>
                <w:rFonts w:ascii="宋体" w:hAnsi="宋体"/>
                <w:sz w:val="18"/>
                <w:szCs w:val="18"/>
              </w:rPr>
              <w:t>80≤</w:t>
            </w:r>
            <w:r>
              <w:rPr>
                <w:rFonts w:ascii="宋体" w:hAnsi="宋体"/>
                <w:b/>
                <w:sz w:val="18"/>
                <w:szCs w:val="18"/>
              </w:rPr>
              <w:t>·</w:t>
            </w:r>
            <w:r>
              <w:rPr>
                <w:rFonts w:ascii="宋体" w:hAnsi="宋体"/>
                <w:sz w:val="18"/>
                <w:szCs w:val="18"/>
              </w:rPr>
              <w:t>＜100</w:t>
            </w:r>
          </w:p>
        </w:tc>
        <w:tc>
          <w:tcPr>
            <w:tcW w:w="710" w:type="dxa"/>
            <w:shd w:val="clear" w:color="auto" w:fill="auto"/>
            <w:vAlign w:val="center"/>
          </w:tcPr>
          <w:p>
            <w:pPr>
              <w:jc w:val="center"/>
              <w:rPr>
                <w:rFonts w:ascii="宋体" w:hAnsi="宋体"/>
                <w:sz w:val="18"/>
                <w:szCs w:val="18"/>
              </w:rPr>
            </w:pPr>
            <w:r>
              <w:rPr>
                <w:rFonts w:ascii="宋体" w:hAnsi="宋体"/>
                <w:sz w:val="18"/>
                <w:szCs w:val="18"/>
              </w:rPr>
              <w:t>70≤</w:t>
            </w:r>
            <w:r>
              <w:rPr>
                <w:rFonts w:ascii="宋体" w:hAnsi="宋体"/>
                <w:b/>
                <w:sz w:val="18"/>
                <w:szCs w:val="18"/>
              </w:rPr>
              <w:t>·</w:t>
            </w:r>
            <w:r>
              <w:rPr>
                <w:rFonts w:ascii="宋体" w:hAnsi="宋体"/>
                <w:sz w:val="18"/>
                <w:szCs w:val="18"/>
              </w:rPr>
              <w:t>＜90</w:t>
            </w:r>
          </w:p>
        </w:tc>
        <w:tc>
          <w:tcPr>
            <w:tcW w:w="798" w:type="dxa"/>
            <w:gridSpan w:val="2"/>
            <w:shd w:val="clear" w:color="auto" w:fill="auto"/>
            <w:vAlign w:val="center"/>
          </w:tcPr>
          <w:p>
            <w:pPr>
              <w:jc w:val="center"/>
              <w:rPr>
                <w:rFonts w:ascii="宋体" w:hAnsi="宋体"/>
                <w:sz w:val="18"/>
                <w:szCs w:val="18"/>
              </w:rPr>
            </w:pPr>
            <w:r>
              <w:rPr>
                <w:rFonts w:ascii="宋体" w:hAnsi="宋体"/>
                <w:sz w:val="18"/>
                <w:szCs w:val="18"/>
              </w:rPr>
              <w:t>70≤</w:t>
            </w:r>
            <w:r>
              <w:rPr>
                <w:rFonts w:ascii="宋体" w:hAnsi="宋体"/>
                <w:b/>
                <w:sz w:val="18"/>
                <w:szCs w:val="18"/>
              </w:rPr>
              <w:t>·</w:t>
            </w:r>
            <w:r>
              <w:rPr>
                <w:rFonts w:ascii="宋体" w:hAnsi="宋体"/>
                <w:sz w:val="18"/>
                <w:szCs w:val="18"/>
              </w:rPr>
              <w:t>＜90</w:t>
            </w:r>
          </w:p>
        </w:tc>
        <w:tc>
          <w:tcPr>
            <w:tcW w:w="790" w:type="dxa"/>
            <w:gridSpan w:val="2"/>
            <w:vAlign w:val="center"/>
          </w:tcPr>
          <w:p>
            <w:pPr>
              <w:jc w:val="center"/>
              <w:rPr>
                <w:rFonts w:ascii="宋体" w:hAnsi="宋体"/>
                <w:sz w:val="18"/>
                <w:szCs w:val="18"/>
              </w:rPr>
            </w:pPr>
            <w:r>
              <w:rPr>
                <w:rFonts w:ascii="宋体" w:hAnsi="宋体"/>
                <w:sz w:val="18"/>
                <w:szCs w:val="18"/>
              </w:rPr>
              <w:t>80≤</w:t>
            </w:r>
            <w:r>
              <w:rPr>
                <w:rFonts w:ascii="宋体" w:hAnsi="宋体"/>
                <w:b/>
                <w:sz w:val="18"/>
                <w:szCs w:val="18"/>
              </w:rPr>
              <w:t>·</w:t>
            </w:r>
            <w:r>
              <w:rPr>
                <w:rFonts w:ascii="宋体" w:hAnsi="宋体"/>
                <w:sz w:val="18"/>
                <w:szCs w:val="18"/>
              </w:rPr>
              <w:t>＜100</w:t>
            </w:r>
          </w:p>
        </w:tc>
        <w:tc>
          <w:tcPr>
            <w:tcW w:w="763" w:type="dxa"/>
            <w:gridSpan w:val="2"/>
            <w:vAlign w:val="center"/>
          </w:tcPr>
          <w:p>
            <w:pPr>
              <w:jc w:val="center"/>
              <w:rPr>
                <w:rFonts w:ascii="宋体" w:hAnsi="宋体"/>
                <w:sz w:val="18"/>
                <w:szCs w:val="18"/>
              </w:rPr>
            </w:pPr>
            <w:r>
              <w:rPr>
                <w:rFonts w:ascii="宋体" w:hAnsi="宋体"/>
                <w:sz w:val="18"/>
                <w:szCs w:val="18"/>
              </w:rPr>
              <w:t>60≤</w:t>
            </w:r>
            <w:r>
              <w:rPr>
                <w:rFonts w:ascii="宋体" w:hAnsi="宋体"/>
                <w:b/>
                <w:sz w:val="18"/>
                <w:szCs w:val="18"/>
              </w:rPr>
              <w:t>·</w:t>
            </w:r>
            <w:r>
              <w:rPr>
                <w:rFonts w:ascii="宋体" w:hAnsi="宋体"/>
                <w:sz w:val="18"/>
                <w:szCs w:val="18"/>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7" w:hRule="exact"/>
        </w:trPr>
        <w:tc>
          <w:tcPr>
            <w:tcW w:w="1291" w:type="dxa"/>
            <w:shd w:val="clear" w:color="auto" w:fill="auto"/>
            <w:vAlign w:val="center"/>
          </w:tcPr>
          <w:p>
            <w:pPr>
              <w:jc w:val="center"/>
              <w:rPr>
                <w:rFonts w:ascii="宋体" w:hAnsi="宋体"/>
                <w:sz w:val="18"/>
                <w:szCs w:val="18"/>
              </w:rPr>
            </w:pPr>
            <w:r>
              <w:rPr>
                <w:rFonts w:ascii="宋体" w:hAnsi="宋体"/>
                <w:sz w:val="18"/>
                <w:szCs w:val="18"/>
              </w:rPr>
              <w:t>果形</w:t>
            </w:r>
          </w:p>
        </w:tc>
        <w:tc>
          <w:tcPr>
            <w:tcW w:w="3180" w:type="dxa"/>
            <w:gridSpan w:val="7"/>
            <w:shd w:val="clear" w:color="auto" w:fill="auto"/>
            <w:vAlign w:val="center"/>
          </w:tcPr>
          <w:p>
            <w:pPr>
              <w:jc w:val="center"/>
              <w:rPr>
                <w:rFonts w:ascii="宋体" w:hAnsi="宋体"/>
                <w:sz w:val="18"/>
                <w:szCs w:val="18"/>
              </w:rPr>
            </w:pPr>
            <w:r>
              <w:rPr>
                <w:rFonts w:ascii="宋体" w:hAnsi="宋体"/>
                <w:sz w:val="18"/>
                <w:szCs w:val="18"/>
              </w:rPr>
              <w:t>端正，无畸形</w:t>
            </w:r>
          </w:p>
        </w:tc>
        <w:tc>
          <w:tcPr>
            <w:tcW w:w="3219" w:type="dxa"/>
            <w:gridSpan w:val="7"/>
            <w:shd w:val="clear" w:color="auto" w:fill="auto"/>
            <w:vAlign w:val="center"/>
          </w:tcPr>
          <w:p>
            <w:pPr>
              <w:jc w:val="center"/>
              <w:rPr>
                <w:rFonts w:ascii="宋体" w:hAnsi="宋体"/>
                <w:sz w:val="18"/>
                <w:szCs w:val="18"/>
              </w:rPr>
            </w:pPr>
            <w:r>
              <w:rPr>
                <w:rFonts w:ascii="宋体" w:hAnsi="宋体"/>
                <w:sz w:val="18"/>
                <w:szCs w:val="18"/>
              </w:rPr>
              <w:t>端正，无畸形</w:t>
            </w:r>
          </w:p>
        </w:tc>
        <w:tc>
          <w:tcPr>
            <w:tcW w:w="3061" w:type="dxa"/>
            <w:gridSpan w:val="7"/>
            <w:shd w:val="clear" w:color="auto" w:fill="auto"/>
            <w:vAlign w:val="center"/>
          </w:tcPr>
          <w:p>
            <w:pPr>
              <w:jc w:val="center"/>
              <w:rPr>
                <w:rFonts w:ascii="宋体" w:hAnsi="宋体"/>
                <w:sz w:val="18"/>
                <w:szCs w:val="18"/>
              </w:rPr>
            </w:pPr>
            <w:r>
              <w:rPr>
                <w:rFonts w:ascii="宋体" w:hAnsi="宋体"/>
                <w:sz w:val="18"/>
                <w:szCs w:val="18"/>
              </w:rPr>
              <w:t>不影响外观，无明显畸形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77" w:hRule="exact"/>
        </w:trPr>
        <w:tc>
          <w:tcPr>
            <w:tcW w:w="1291" w:type="dxa"/>
            <w:shd w:val="clear" w:color="auto" w:fill="auto"/>
            <w:vAlign w:val="center"/>
          </w:tcPr>
          <w:p>
            <w:pPr>
              <w:jc w:val="center"/>
              <w:rPr>
                <w:rFonts w:ascii="宋体" w:hAnsi="宋体"/>
                <w:sz w:val="18"/>
                <w:szCs w:val="18"/>
              </w:rPr>
            </w:pPr>
            <w:r>
              <w:rPr>
                <w:rFonts w:ascii="宋体" w:hAnsi="宋体"/>
                <w:sz w:val="18"/>
                <w:szCs w:val="18"/>
              </w:rPr>
              <w:t>果面</w:t>
            </w:r>
          </w:p>
        </w:tc>
        <w:tc>
          <w:tcPr>
            <w:tcW w:w="3180" w:type="dxa"/>
            <w:gridSpan w:val="7"/>
            <w:shd w:val="clear" w:color="auto" w:fill="auto"/>
            <w:vAlign w:val="center"/>
          </w:tcPr>
          <w:p>
            <w:pPr>
              <w:jc w:val="center"/>
              <w:rPr>
                <w:rFonts w:ascii="宋体" w:hAnsi="宋体"/>
                <w:sz w:val="18"/>
                <w:szCs w:val="18"/>
              </w:rPr>
            </w:pPr>
            <w:r>
              <w:rPr>
                <w:rFonts w:ascii="宋体" w:hAnsi="宋体"/>
                <w:sz w:val="18"/>
                <w:szCs w:val="18"/>
              </w:rPr>
              <w:t>无缺陷</w:t>
            </w:r>
          </w:p>
        </w:tc>
        <w:tc>
          <w:tcPr>
            <w:tcW w:w="3219" w:type="dxa"/>
            <w:gridSpan w:val="7"/>
            <w:shd w:val="clear" w:color="auto" w:fill="auto"/>
            <w:vAlign w:val="center"/>
          </w:tcPr>
          <w:p>
            <w:pPr>
              <w:jc w:val="center"/>
              <w:rPr>
                <w:rFonts w:ascii="宋体" w:hAnsi="宋体"/>
                <w:sz w:val="18"/>
                <w:szCs w:val="18"/>
              </w:rPr>
            </w:pPr>
            <w:r>
              <w:rPr>
                <w:rFonts w:ascii="宋体" w:hAnsi="宋体"/>
                <w:sz w:val="18"/>
                <w:szCs w:val="18"/>
              </w:rPr>
              <w:t>无污染，无皱缩，果皮斑迹或</w:t>
            </w:r>
            <w:r>
              <w:rPr>
                <w:rFonts w:hint="eastAsia" w:ascii="宋体" w:hAnsi="宋体"/>
                <w:sz w:val="18"/>
                <w:szCs w:val="18"/>
              </w:rPr>
              <w:t>果斑</w:t>
            </w:r>
            <w:r>
              <w:rPr>
                <w:rFonts w:ascii="宋体" w:hAnsi="宋体"/>
                <w:sz w:val="18"/>
                <w:szCs w:val="18"/>
              </w:rPr>
              <w:t>总面积≤1 cm</w:t>
            </w:r>
            <w:r>
              <w:rPr>
                <w:rFonts w:ascii="宋体" w:hAnsi="宋体"/>
                <w:sz w:val="18"/>
                <w:szCs w:val="18"/>
                <w:vertAlign w:val="superscript"/>
              </w:rPr>
              <w:t>2</w:t>
            </w:r>
          </w:p>
        </w:tc>
        <w:tc>
          <w:tcPr>
            <w:tcW w:w="3061" w:type="dxa"/>
            <w:gridSpan w:val="7"/>
            <w:shd w:val="clear" w:color="auto" w:fill="auto"/>
            <w:vAlign w:val="center"/>
          </w:tcPr>
          <w:p>
            <w:pPr>
              <w:jc w:val="center"/>
              <w:rPr>
                <w:rFonts w:ascii="宋体" w:hAnsi="宋体"/>
                <w:sz w:val="18"/>
                <w:szCs w:val="18"/>
              </w:rPr>
            </w:pPr>
            <w:r>
              <w:rPr>
                <w:rFonts w:ascii="宋体" w:hAnsi="宋体"/>
                <w:sz w:val="18"/>
                <w:szCs w:val="18"/>
              </w:rPr>
              <w:t>无污染，无皱缩，果皮斑迹或缺陷总面积≤2 cm</w:t>
            </w:r>
            <w:r>
              <w:rPr>
                <w:rFonts w:ascii="宋体" w:hAnsi="宋体"/>
                <w:sz w:val="18"/>
                <w:szCs w:val="18"/>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4" w:hRule="exact"/>
        </w:trPr>
        <w:tc>
          <w:tcPr>
            <w:tcW w:w="1291" w:type="dxa"/>
            <w:shd w:val="clear" w:color="auto" w:fill="auto"/>
            <w:vAlign w:val="center"/>
          </w:tcPr>
          <w:p>
            <w:pPr>
              <w:jc w:val="center"/>
              <w:rPr>
                <w:rFonts w:ascii="宋体" w:hAnsi="宋体"/>
                <w:sz w:val="18"/>
                <w:szCs w:val="18"/>
              </w:rPr>
            </w:pPr>
            <w:r>
              <w:rPr>
                <w:rFonts w:ascii="宋体" w:hAnsi="宋体"/>
                <w:sz w:val="18"/>
                <w:szCs w:val="18"/>
              </w:rPr>
              <w:t>缺陷果（%）</w:t>
            </w:r>
          </w:p>
        </w:tc>
        <w:tc>
          <w:tcPr>
            <w:tcW w:w="3180" w:type="dxa"/>
            <w:gridSpan w:val="7"/>
            <w:shd w:val="clear" w:color="auto" w:fill="auto"/>
            <w:vAlign w:val="center"/>
          </w:tcPr>
          <w:p>
            <w:pPr>
              <w:jc w:val="center"/>
              <w:rPr>
                <w:rFonts w:ascii="宋体" w:hAnsi="宋体"/>
                <w:sz w:val="18"/>
                <w:szCs w:val="18"/>
              </w:rPr>
            </w:pPr>
            <w:r>
              <w:rPr>
                <w:rFonts w:ascii="宋体" w:hAnsi="宋体"/>
                <w:sz w:val="18"/>
                <w:szCs w:val="18"/>
              </w:rPr>
              <w:t>0</w:t>
            </w:r>
          </w:p>
        </w:tc>
        <w:tc>
          <w:tcPr>
            <w:tcW w:w="3219" w:type="dxa"/>
            <w:gridSpan w:val="7"/>
            <w:shd w:val="clear" w:color="auto" w:fill="auto"/>
            <w:vAlign w:val="center"/>
          </w:tcPr>
          <w:p>
            <w:pPr>
              <w:jc w:val="center"/>
              <w:rPr>
                <w:rFonts w:ascii="宋体" w:hAnsi="宋体"/>
                <w:sz w:val="18"/>
                <w:szCs w:val="18"/>
              </w:rPr>
            </w:pPr>
            <w:r>
              <w:rPr>
                <w:rFonts w:ascii="宋体" w:hAnsi="宋体"/>
                <w:sz w:val="18"/>
                <w:szCs w:val="18"/>
              </w:rPr>
              <w:t>≤2</w:t>
            </w:r>
          </w:p>
        </w:tc>
        <w:tc>
          <w:tcPr>
            <w:tcW w:w="3061" w:type="dxa"/>
            <w:gridSpan w:val="7"/>
            <w:shd w:val="clear" w:color="auto" w:fill="auto"/>
            <w:vAlign w:val="center"/>
          </w:tcPr>
          <w:p>
            <w:pPr>
              <w:jc w:val="center"/>
              <w:rPr>
                <w:rFonts w:ascii="宋体" w:hAnsi="宋体"/>
                <w:sz w:val="18"/>
                <w:szCs w:val="18"/>
              </w:rPr>
            </w:pPr>
            <w:r>
              <w:rPr>
                <w:rFonts w:ascii="宋体" w:hAnsi="宋体"/>
                <w:sz w:val="18"/>
                <w:szCs w:val="18"/>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04" w:hRule="exact"/>
        </w:trPr>
        <w:tc>
          <w:tcPr>
            <w:tcW w:w="1291" w:type="dxa"/>
            <w:shd w:val="clear" w:color="auto" w:fill="auto"/>
            <w:vAlign w:val="center"/>
          </w:tcPr>
          <w:p>
            <w:pPr>
              <w:jc w:val="center"/>
              <w:rPr>
                <w:rFonts w:ascii="宋体" w:hAnsi="宋体"/>
                <w:sz w:val="18"/>
                <w:szCs w:val="18"/>
              </w:rPr>
            </w:pPr>
            <w:r>
              <w:rPr>
                <w:rFonts w:ascii="宋体" w:hAnsi="宋体"/>
                <w:sz w:val="18"/>
                <w:szCs w:val="18"/>
              </w:rPr>
              <w:t>生理成熟时干物质（%）</w:t>
            </w:r>
          </w:p>
        </w:tc>
        <w:tc>
          <w:tcPr>
            <w:tcW w:w="863" w:type="dxa"/>
            <w:gridSpan w:val="2"/>
            <w:shd w:val="clear" w:color="auto" w:fill="auto"/>
            <w:vAlign w:val="center"/>
          </w:tcPr>
          <w:p>
            <w:pPr>
              <w:jc w:val="center"/>
              <w:rPr>
                <w:rFonts w:ascii="宋体" w:hAnsi="宋体"/>
                <w:sz w:val="18"/>
                <w:szCs w:val="18"/>
              </w:rPr>
            </w:pPr>
            <w:r>
              <w:rPr>
                <w:rFonts w:ascii="宋体" w:hAnsi="宋体"/>
                <w:sz w:val="18"/>
                <w:szCs w:val="18"/>
              </w:rPr>
              <w:t>≥18</w:t>
            </w:r>
          </w:p>
        </w:tc>
        <w:tc>
          <w:tcPr>
            <w:tcW w:w="857" w:type="dxa"/>
            <w:gridSpan w:val="2"/>
            <w:shd w:val="clear" w:color="auto" w:fill="auto"/>
            <w:vAlign w:val="center"/>
          </w:tcPr>
          <w:p>
            <w:pPr>
              <w:jc w:val="center"/>
              <w:rPr>
                <w:rFonts w:ascii="宋体" w:hAnsi="宋体"/>
                <w:sz w:val="18"/>
                <w:szCs w:val="18"/>
              </w:rPr>
            </w:pPr>
            <w:r>
              <w:rPr>
                <w:rFonts w:ascii="宋体" w:hAnsi="宋体"/>
                <w:sz w:val="18"/>
                <w:szCs w:val="18"/>
              </w:rPr>
              <w:t>≥18.5</w:t>
            </w:r>
          </w:p>
        </w:tc>
        <w:tc>
          <w:tcPr>
            <w:tcW w:w="856" w:type="dxa"/>
            <w:gridSpan w:val="2"/>
            <w:vAlign w:val="center"/>
          </w:tcPr>
          <w:p>
            <w:pPr>
              <w:jc w:val="center"/>
              <w:rPr>
                <w:rFonts w:ascii="宋体" w:hAnsi="宋体"/>
                <w:sz w:val="18"/>
                <w:szCs w:val="18"/>
              </w:rPr>
            </w:pPr>
            <w:r>
              <w:rPr>
                <w:rFonts w:ascii="宋体" w:hAnsi="宋体"/>
                <w:sz w:val="18"/>
                <w:szCs w:val="18"/>
              </w:rPr>
              <w:t>≥17</w:t>
            </w:r>
          </w:p>
        </w:tc>
        <w:tc>
          <w:tcPr>
            <w:tcW w:w="604" w:type="dxa"/>
            <w:vAlign w:val="center"/>
          </w:tcPr>
          <w:p>
            <w:pPr>
              <w:jc w:val="center"/>
              <w:rPr>
                <w:rFonts w:ascii="宋体" w:hAnsi="宋体"/>
                <w:sz w:val="18"/>
                <w:szCs w:val="18"/>
              </w:rPr>
            </w:pPr>
            <w:r>
              <w:rPr>
                <w:rFonts w:ascii="宋体" w:hAnsi="宋体"/>
                <w:sz w:val="18"/>
                <w:szCs w:val="18"/>
              </w:rPr>
              <w:t>≥20</w:t>
            </w:r>
          </w:p>
        </w:tc>
        <w:tc>
          <w:tcPr>
            <w:tcW w:w="738" w:type="dxa"/>
            <w:shd w:val="clear" w:color="auto" w:fill="auto"/>
            <w:vAlign w:val="center"/>
          </w:tcPr>
          <w:p>
            <w:pPr>
              <w:jc w:val="center"/>
              <w:rPr>
                <w:rFonts w:ascii="宋体" w:hAnsi="宋体"/>
                <w:sz w:val="18"/>
                <w:szCs w:val="18"/>
              </w:rPr>
            </w:pPr>
            <w:r>
              <w:rPr>
                <w:rFonts w:ascii="宋体" w:hAnsi="宋体"/>
                <w:sz w:val="18"/>
                <w:szCs w:val="18"/>
              </w:rPr>
              <w:t>≥17</w:t>
            </w:r>
          </w:p>
        </w:tc>
        <w:tc>
          <w:tcPr>
            <w:tcW w:w="1071" w:type="dxa"/>
            <w:gridSpan w:val="3"/>
            <w:shd w:val="clear" w:color="auto" w:fill="auto"/>
            <w:vAlign w:val="center"/>
          </w:tcPr>
          <w:p>
            <w:pPr>
              <w:jc w:val="center"/>
              <w:rPr>
                <w:rFonts w:ascii="宋体" w:hAnsi="宋体"/>
                <w:sz w:val="18"/>
                <w:szCs w:val="18"/>
              </w:rPr>
            </w:pPr>
            <w:r>
              <w:rPr>
                <w:rFonts w:ascii="宋体" w:hAnsi="宋体"/>
                <w:sz w:val="18"/>
                <w:szCs w:val="18"/>
              </w:rPr>
              <w:t>≥17.5</w:t>
            </w:r>
          </w:p>
        </w:tc>
        <w:tc>
          <w:tcPr>
            <w:tcW w:w="812" w:type="dxa"/>
            <w:gridSpan w:val="2"/>
            <w:vAlign w:val="center"/>
          </w:tcPr>
          <w:p>
            <w:pPr>
              <w:jc w:val="center"/>
              <w:rPr>
                <w:rFonts w:ascii="宋体" w:hAnsi="宋体"/>
                <w:sz w:val="18"/>
                <w:szCs w:val="18"/>
              </w:rPr>
            </w:pPr>
            <w:r>
              <w:rPr>
                <w:rFonts w:ascii="宋体" w:hAnsi="宋体"/>
                <w:sz w:val="18"/>
                <w:szCs w:val="18"/>
              </w:rPr>
              <w:t>≥15.5</w:t>
            </w:r>
          </w:p>
        </w:tc>
        <w:tc>
          <w:tcPr>
            <w:tcW w:w="598" w:type="dxa"/>
            <w:vAlign w:val="center"/>
          </w:tcPr>
          <w:p>
            <w:pPr>
              <w:jc w:val="center"/>
              <w:rPr>
                <w:rFonts w:ascii="宋体" w:hAnsi="宋体"/>
                <w:sz w:val="18"/>
                <w:szCs w:val="18"/>
              </w:rPr>
            </w:pPr>
            <w:r>
              <w:rPr>
                <w:rFonts w:ascii="宋体" w:hAnsi="宋体"/>
                <w:sz w:val="18"/>
                <w:szCs w:val="18"/>
              </w:rPr>
              <w:t>≥18</w:t>
            </w:r>
          </w:p>
        </w:tc>
        <w:tc>
          <w:tcPr>
            <w:tcW w:w="951" w:type="dxa"/>
            <w:gridSpan w:val="2"/>
            <w:shd w:val="clear" w:color="auto" w:fill="auto"/>
            <w:vAlign w:val="center"/>
          </w:tcPr>
          <w:p>
            <w:pPr>
              <w:jc w:val="center"/>
              <w:rPr>
                <w:rFonts w:ascii="宋体" w:hAnsi="宋体"/>
                <w:sz w:val="18"/>
                <w:szCs w:val="18"/>
              </w:rPr>
            </w:pPr>
            <w:r>
              <w:rPr>
                <w:rFonts w:ascii="宋体" w:hAnsi="宋体"/>
                <w:sz w:val="18"/>
                <w:szCs w:val="18"/>
              </w:rPr>
              <w:t>≥16.5</w:t>
            </w:r>
          </w:p>
        </w:tc>
        <w:tc>
          <w:tcPr>
            <w:tcW w:w="852" w:type="dxa"/>
            <w:gridSpan w:val="2"/>
            <w:shd w:val="clear" w:color="auto" w:fill="auto"/>
            <w:vAlign w:val="center"/>
          </w:tcPr>
          <w:p>
            <w:pPr>
              <w:jc w:val="center"/>
              <w:rPr>
                <w:rFonts w:ascii="宋体" w:hAnsi="宋体"/>
                <w:sz w:val="18"/>
                <w:szCs w:val="18"/>
              </w:rPr>
            </w:pPr>
            <w:r>
              <w:rPr>
                <w:rFonts w:ascii="宋体" w:hAnsi="宋体"/>
                <w:sz w:val="18"/>
                <w:szCs w:val="18"/>
              </w:rPr>
              <w:t>≥16.5</w:t>
            </w:r>
          </w:p>
        </w:tc>
        <w:tc>
          <w:tcPr>
            <w:tcW w:w="641" w:type="dxa"/>
            <w:gridSpan w:val="2"/>
            <w:vAlign w:val="center"/>
          </w:tcPr>
          <w:p>
            <w:pPr>
              <w:jc w:val="center"/>
              <w:rPr>
                <w:rFonts w:ascii="宋体" w:hAnsi="宋体"/>
                <w:sz w:val="18"/>
                <w:szCs w:val="18"/>
              </w:rPr>
            </w:pPr>
            <w:r>
              <w:rPr>
                <w:rFonts w:ascii="宋体" w:hAnsi="宋体"/>
                <w:sz w:val="18"/>
                <w:szCs w:val="18"/>
              </w:rPr>
              <w:t>≥14.5</w:t>
            </w:r>
          </w:p>
        </w:tc>
        <w:tc>
          <w:tcPr>
            <w:tcW w:w="617" w:type="dxa"/>
            <w:vAlign w:val="center"/>
          </w:tcPr>
          <w:p>
            <w:pPr>
              <w:jc w:val="center"/>
              <w:rPr>
                <w:rFonts w:ascii="宋体" w:hAnsi="宋体"/>
                <w:sz w:val="18"/>
                <w:szCs w:val="18"/>
              </w:rPr>
            </w:pPr>
            <w:r>
              <w:rPr>
                <w:rFonts w:ascii="宋体" w:hAnsi="宋体"/>
                <w:sz w:val="18"/>
                <w:szCs w:val="18"/>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89" w:hRule="exact"/>
        </w:trPr>
        <w:tc>
          <w:tcPr>
            <w:tcW w:w="1291" w:type="dxa"/>
            <w:tcBorders>
              <w:bottom w:val="single" w:color="000000" w:sz="4" w:space="0"/>
            </w:tcBorders>
            <w:shd w:val="clear" w:color="auto" w:fill="auto"/>
            <w:vAlign w:val="center"/>
          </w:tcPr>
          <w:p>
            <w:pPr>
              <w:jc w:val="center"/>
              <w:rPr>
                <w:rFonts w:ascii="宋体" w:hAnsi="宋体"/>
                <w:sz w:val="18"/>
                <w:szCs w:val="18"/>
              </w:rPr>
            </w:pPr>
            <w:r>
              <w:rPr>
                <w:rFonts w:ascii="宋体" w:hAnsi="宋体"/>
                <w:sz w:val="18"/>
                <w:szCs w:val="18"/>
              </w:rPr>
              <w:t>可食状态可溶性固形物（%）</w:t>
            </w:r>
          </w:p>
        </w:tc>
        <w:tc>
          <w:tcPr>
            <w:tcW w:w="863" w:type="dxa"/>
            <w:gridSpan w:val="2"/>
            <w:tcBorders>
              <w:bottom w:val="single" w:color="000000" w:sz="4" w:space="0"/>
            </w:tcBorders>
            <w:shd w:val="clear" w:color="auto" w:fill="auto"/>
            <w:vAlign w:val="center"/>
          </w:tcPr>
          <w:p>
            <w:pPr>
              <w:jc w:val="center"/>
              <w:rPr>
                <w:rFonts w:ascii="宋体" w:hAnsi="宋体"/>
                <w:sz w:val="18"/>
                <w:szCs w:val="18"/>
              </w:rPr>
            </w:pPr>
            <w:r>
              <w:rPr>
                <w:rFonts w:ascii="宋体" w:hAnsi="宋体"/>
                <w:sz w:val="18"/>
                <w:szCs w:val="18"/>
              </w:rPr>
              <w:t>≥18</w:t>
            </w:r>
          </w:p>
        </w:tc>
        <w:tc>
          <w:tcPr>
            <w:tcW w:w="857" w:type="dxa"/>
            <w:gridSpan w:val="2"/>
            <w:tcBorders>
              <w:bottom w:val="single" w:color="000000" w:sz="4" w:space="0"/>
            </w:tcBorders>
            <w:shd w:val="clear" w:color="auto" w:fill="auto"/>
            <w:vAlign w:val="center"/>
          </w:tcPr>
          <w:p>
            <w:pPr>
              <w:jc w:val="center"/>
              <w:rPr>
                <w:rFonts w:ascii="宋体" w:hAnsi="宋体"/>
                <w:sz w:val="18"/>
                <w:szCs w:val="18"/>
              </w:rPr>
            </w:pPr>
            <w:r>
              <w:rPr>
                <w:rFonts w:ascii="宋体" w:hAnsi="宋体"/>
                <w:sz w:val="18"/>
                <w:szCs w:val="18"/>
              </w:rPr>
              <w:t>≥18</w:t>
            </w:r>
          </w:p>
        </w:tc>
        <w:tc>
          <w:tcPr>
            <w:tcW w:w="856" w:type="dxa"/>
            <w:gridSpan w:val="2"/>
            <w:tcBorders>
              <w:bottom w:val="single" w:color="000000" w:sz="4" w:space="0"/>
            </w:tcBorders>
            <w:vAlign w:val="center"/>
          </w:tcPr>
          <w:p>
            <w:pPr>
              <w:jc w:val="center"/>
              <w:rPr>
                <w:rFonts w:ascii="宋体" w:hAnsi="宋体"/>
                <w:sz w:val="18"/>
                <w:szCs w:val="18"/>
              </w:rPr>
            </w:pPr>
            <w:r>
              <w:rPr>
                <w:rFonts w:ascii="宋体" w:hAnsi="宋体"/>
                <w:sz w:val="18"/>
                <w:szCs w:val="18"/>
              </w:rPr>
              <w:t>≥17</w:t>
            </w:r>
          </w:p>
        </w:tc>
        <w:tc>
          <w:tcPr>
            <w:tcW w:w="604" w:type="dxa"/>
            <w:tcBorders>
              <w:bottom w:val="single" w:color="000000" w:sz="4" w:space="0"/>
            </w:tcBorders>
            <w:vAlign w:val="center"/>
          </w:tcPr>
          <w:p>
            <w:pPr>
              <w:jc w:val="center"/>
              <w:rPr>
                <w:rFonts w:ascii="宋体" w:hAnsi="宋体"/>
                <w:sz w:val="18"/>
                <w:szCs w:val="18"/>
              </w:rPr>
            </w:pPr>
            <w:r>
              <w:rPr>
                <w:rFonts w:ascii="宋体" w:hAnsi="宋体"/>
                <w:sz w:val="18"/>
                <w:szCs w:val="18"/>
              </w:rPr>
              <w:t>≥21</w:t>
            </w:r>
          </w:p>
        </w:tc>
        <w:tc>
          <w:tcPr>
            <w:tcW w:w="738" w:type="dxa"/>
            <w:tcBorders>
              <w:bottom w:val="single" w:color="000000" w:sz="4" w:space="0"/>
            </w:tcBorders>
            <w:shd w:val="clear" w:color="auto" w:fill="auto"/>
            <w:vAlign w:val="center"/>
          </w:tcPr>
          <w:p>
            <w:pPr>
              <w:jc w:val="center"/>
              <w:rPr>
                <w:rFonts w:ascii="宋体" w:hAnsi="宋体"/>
                <w:sz w:val="18"/>
                <w:szCs w:val="18"/>
              </w:rPr>
            </w:pPr>
            <w:r>
              <w:rPr>
                <w:rFonts w:ascii="宋体" w:hAnsi="宋体"/>
                <w:sz w:val="18"/>
                <w:szCs w:val="18"/>
              </w:rPr>
              <w:t>≥17</w:t>
            </w:r>
          </w:p>
        </w:tc>
        <w:tc>
          <w:tcPr>
            <w:tcW w:w="1071" w:type="dxa"/>
            <w:gridSpan w:val="3"/>
            <w:tcBorders>
              <w:bottom w:val="single" w:color="000000" w:sz="4" w:space="0"/>
            </w:tcBorders>
            <w:shd w:val="clear" w:color="auto" w:fill="auto"/>
            <w:vAlign w:val="center"/>
          </w:tcPr>
          <w:p>
            <w:pPr>
              <w:jc w:val="center"/>
              <w:rPr>
                <w:rFonts w:ascii="宋体" w:hAnsi="宋体"/>
                <w:sz w:val="18"/>
                <w:szCs w:val="18"/>
              </w:rPr>
            </w:pPr>
            <w:r>
              <w:rPr>
                <w:rFonts w:ascii="宋体" w:hAnsi="宋体"/>
                <w:sz w:val="18"/>
                <w:szCs w:val="18"/>
              </w:rPr>
              <w:t>≥17</w:t>
            </w:r>
          </w:p>
        </w:tc>
        <w:tc>
          <w:tcPr>
            <w:tcW w:w="812" w:type="dxa"/>
            <w:gridSpan w:val="2"/>
            <w:tcBorders>
              <w:bottom w:val="single" w:color="000000" w:sz="4" w:space="0"/>
            </w:tcBorders>
            <w:vAlign w:val="center"/>
          </w:tcPr>
          <w:p>
            <w:pPr>
              <w:jc w:val="center"/>
              <w:rPr>
                <w:rFonts w:ascii="宋体" w:hAnsi="宋体"/>
                <w:sz w:val="18"/>
                <w:szCs w:val="18"/>
              </w:rPr>
            </w:pPr>
            <w:r>
              <w:rPr>
                <w:rFonts w:ascii="宋体" w:hAnsi="宋体"/>
                <w:sz w:val="18"/>
                <w:szCs w:val="18"/>
              </w:rPr>
              <w:t>≥16</w:t>
            </w:r>
          </w:p>
        </w:tc>
        <w:tc>
          <w:tcPr>
            <w:tcW w:w="598" w:type="dxa"/>
            <w:tcBorders>
              <w:bottom w:val="single" w:color="000000" w:sz="4" w:space="0"/>
            </w:tcBorders>
            <w:vAlign w:val="center"/>
          </w:tcPr>
          <w:p>
            <w:pPr>
              <w:jc w:val="center"/>
              <w:rPr>
                <w:rFonts w:ascii="宋体" w:hAnsi="宋体"/>
                <w:sz w:val="18"/>
                <w:szCs w:val="18"/>
              </w:rPr>
            </w:pPr>
            <w:r>
              <w:rPr>
                <w:rFonts w:ascii="宋体" w:hAnsi="宋体"/>
                <w:sz w:val="18"/>
                <w:szCs w:val="18"/>
              </w:rPr>
              <w:t>≥19</w:t>
            </w:r>
          </w:p>
        </w:tc>
        <w:tc>
          <w:tcPr>
            <w:tcW w:w="951" w:type="dxa"/>
            <w:gridSpan w:val="2"/>
            <w:tcBorders>
              <w:bottom w:val="single" w:color="000000" w:sz="4" w:space="0"/>
            </w:tcBorders>
            <w:shd w:val="clear" w:color="auto" w:fill="auto"/>
            <w:vAlign w:val="center"/>
          </w:tcPr>
          <w:p>
            <w:pPr>
              <w:jc w:val="center"/>
              <w:rPr>
                <w:rFonts w:ascii="宋体" w:hAnsi="宋体"/>
                <w:sz w:val="18"/>
                <w:szCs w:val="18"/>
              </w:rPr>
            </w:pPr>
            <w:r>
              <w:rPr>
                <w:rFonts w:ascii="宋体" w:hAnsi="宋体"/>
                <w:sz w:val="18"/>
                <w:szCs w:val="18"/>
              </w:rPr>
              <w:t>≥16</w:t>
            </w:r>
          </w:p>
        </w:tc>
        <w:tc>
          <w:tcPr>
            <w:tcW w:w="852" w:type="dxa"/>
            <w:gridSpan w:val="2"/>
            <w:tcBorders>
              <w:bottom w:val="single" w:color="000000" w:sz="4" w:space="0"/>
            </w:tcBorders>
            <w:shd w:val="clear" w:color="auto" w:fill="auto"/>
            <w:vAlign w:val="center"/>
          </w:tcPr>
          <w:p>
            <w:pPr>
              <w:jc w:val="center"/>
              <w:rPr>
                <w:rFonts w:ascii="宋体" w:hAnsi="宋体"/>
                <w:sz w:val="18"/>
                <w:szCs w:val="18"/>
              </w:rPr>
            </w:pPr>
            <w:r>
              <w:rPr>
                <w:rFonts w:ascii="宋体" w:hAnsi="宋体"/>
                <w:sz w:val="18"/>
                <w:szCs w:val="18"/>
              </w:rPr>
              <w:t>≥16</w:t>
            </w:r>
          </w:p>
        </w:tc>
        <w:tc>
          <w:tcPr>
            <w:tcW w:w="641" w:type="dxa"/>
            <w:gridSpan w:val="2"/>
            <w:tcBorders>
              <w:bottom w:val="single" w:color="000000" w:sz="4" w:space="0"/>
            </w:tcBorders>
            <w:vAlign w:val="center"/>
          </w:tcPr>
          <w:p>
            <w:pPr>
              <w:jc w:val="center"/>
              <w:rPr>
                <w:rFonts w:ascii="宋体" w:hAnsi="宋体"/>
                <w:sz w:val="18"/>
                <w:szCs w:val="18"/>
              </w:rPr>
            </w:pPr>
            <w:r>
              <w:rPr>
                <w:rFonts w:ascii="宋体" w:hAnsi="宋体"/>
                <w:sz w:val="18"/>
                <w:szCs w:val="18"/>
              </w:rPr>
              <w:t>≥15</w:t>
            </w:r>
          </w:p>
        </w:tc>
        <w:tc>
          <w:tcPr>
            <w:tcW w:w="617" w:type="dxa"/>
            <w:tcBorders>
              <w:bottom w:val="single" w:color="000000" w:sz="4" w:space="0"/>
            </w:tcBorders>
            <w:vAlign w:val="center"/>
          </w:tcPr>
          <w:p>
            <w:pPr>
              <w:jc w:val="center"/>
              <w:rPr>
                <w:rFonts w:ascii="宋体" w:hAnsi="宋体"/>
                <w:sz w:val="18"/>
                <w:szCs w:val="18"/>
              </w:rPr>
            </w:pPr>
            <w:r>
              <w:rPr>
                <w:rFonts w:ascii="宋体" w:hAnsi="宋体"/>
                <w:sz w:val="18"/>
                <w:szCs w:val="18"/>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5" w:hRule="exact"/>
        </w:trPr>
        <w:tc>
          <w:tcPr>
            <w:tcW w:w="1291" w:type="dxa"/>
            <w:tcBorders>
              <w:bottom w:val="single" w:color="000000" w:sz="4" w:space="0"/>
            </w:tcBorders>
            <w:shd w:val="clear" w:color="auto" w:fill="auto"/>
            <w:vAlign w:val="center"/>
          </w:tcPr>
          <w:p>
            <w:pPr>
              <w:jc w:val="center"/>
              <w:rPr>
                <w:rFonts w:ascii="宋体" w:hAnsi="宋体"/>
                <w:sz w:val="18"/>
                <w:szCs w:val="18"/>
              </w:rPr>
            </w:pPr>
            <w:r>
              <w:rPr>
                <w:rFonts w:ascii="宋体" w:hAnsi="宋体"/>
                <w:sz w:val="18"/>
                <w:szCs w:val="18"/>
              </w:rPr>
              <w:t>风味</w:t>
            </w:r>
          </w:p>
        </w:tc>
        <w:tc>
          <w:tcPr>
            <w:tcW w:w="9460" w:type="dxa"/>
            <w:gridSpan w:val="21"/>
            <w:tcBorders>
              <w:bottom w:val="single" w:color="000000" w:sz="4" w:space="0"/>
            </w:tcBorders>
            <w:shd w:val="clear" w:color="auto" w:fill="auto"/>
            <w:vAlign w:val="center"/>
          </w:tcPr>
          <w:p>
            <w:pPr>
              <w:jc w:val="center"/>
              <w:rPr>
                <w:rFonts w:ascii="宋体" w:hAnsi="宋体"/>
                <w:sz w:val="18"/>
                <w:szCs w:val="18"/>
              </w:rPr>
            </w:pPr>
            <w:r>
              <w:rPr>
                <w:rFonts w:hint="eastAsia" w:ascii="宋体" w:hAnsi="宋体"/>
                <w:sz w:val="18"/>
                <w:szCs w:val="18"/>
              </w:rPr>
              <w:t>软熟后表现品种固有风味，有香气，无异味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0" w:hRule="exact"/>
        </w:trPr>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sz w:val="18"/>
                <w:szCs w:val="18"/>
              </w:rPr>
            </w:pPr>
            <w:r>
              <w:rPr>
                <w:rFonts w:ascii="宋体" w:hAnsi="宋体"/>
                <w:sz w:val="18"/>
                <w:szCs w:val="18"/>
              </w:rPr>
              <w:t>容许度（%）</w:t>
            </w:r>
          </w:p>
        </w:tc>
        <w:tc>
          <w:tcPr>
            <w:tcW w:w="31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sz w:val="18"/>
                <w:szCs w:val="18"/>
              </w:rPr>
            </w:pPr>
            <w:r>
              <w:rPr>
                <w:rFonts w:ascii="宋体" w:hAnsi="宋体"/>
                <w:sz w:val="18"/>
                <w:szCs w:val="18"/>
              </w:rPr>
              <w:t>≤3</w:t>
            </w:r>
          </w:p>
        </w:tc>
        <w:tc>
          <w:tcPr>
            <w:tcW w:w="32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sz w:val="18"/>
                <w:szCs w:val="18"/>
              </w:rPr>
            </w:pPr>
            <w:r>
              <w:rPr>
                <w:rFonts w:ascii="宋体" w:hAnsi="宋体"/>
                <w:sz w:val="18"/>
                <w:szCs w:val="18"/>
              </w:rPr>
              <w:t>≤5</w:t>
            </w:r>
          </w:p>
        </w:tc>
        <w:tc>
          <w:tcPr>
            <w:tcW w:w="30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sz w:val="18"/>
                <w:szCs w:val="18"/>
              </w:rPr>
            </w:pPr>
            <w:r>
              <w:rPr>
                <w:rFonts w:ascii="宋体" w:hAnsi="宋体"/>
                <w:sz w:val="18"/>
                <w:szCs w:val="18"/>
              </w:rPr>
              <w:t>≤10</w:t>
            </w:r>
          </w:p>
        </w:tc>
      </w:tr>
    </w:tbl>
    <w:p>
      <w:pPr>
        <w:pStyle w:val="109"/>
        <w:spacing w:before="312" w:after="312"/>
        <w:rPr>
          <w:szCs w:val="21"/>
        </w:rPr>
      </w:pPr>
      <w:bookmarkStart w:id="45" w:name="_Toc376186898"/>
      <w:bookmarkStart w:id="46" w:name="_Toc375591183"/>
      <w:bookmarkStart w:id="47" w:name="_Toc375215623"/>
      <w:r>
        <w:rPr>
          <w:rFonts w:hint="eastAsia"/>
          <w:szCs w:val="21"/>
        </w:rPr>
        <w:t>试验方法</w:t>
      </w:r>
    </w:p>
    <w:bookmarkEnd w:id="45"/>
    <w:bookmarkEnd w:id="46"/>
    <w:bookmarkEnd w:id="47"/>
    <w:p>
      <w:pPr>
        <w:widowControl/>
        <w:adjustRightInd/>
        <w:spacing w:line="240" w:lineRule="auto"/>
        <w:ind w:firstLine="420" w:firstLineChars="200"/>
        <w:jc w:val="left"/>
        <w:rPr>
          <w:rFonts w:ascii="Times New Roman" w:hAnsi="Times New Roman"/>
        </w:rPr>
      </w:pPr>
      <w:r>
        <w:rPr>
          <w:rFonts w:hint="eastAsia" w:ascii="Times New Roman" w:hAnsi="Times New Roman"/>
        </w:rPr>
        <w:t>参照第7部分：采收执行。</w:t>
      </w:r>
      <w:r>
        <w:rPr>
          <w:rFonts w:ascii="Times New Roman" w:hAnsi="Times New Roman"/>
        </w:rPr>
        <w:br w:type="page"/>
      </w:r>
    </w:p>
    <w:p>
      <w:pPr>
        <w:pStyle w:val="82"/>
        <w:spacing w:after="156"/>
      </w:pPr>
      <w:r>
        <w:br w:type="textWrapping"/>
      </w:r>
      <w:r>
        <w:rPr>
          <w:rFonts w:hint="eastAsia"/>
        </w:rPr>
        <w:t>（规范性）</w:t>
      </w:r>
      <w:r>
        <w:br w:type="textWrapping"/>
      </w:r>
      <w:r>
        <w:rPr>
          <w:rFonts w:hint="eastAsia"/>
        </w:rPr>
        <w:t>猕猴桃鲜果质量要求</w:t>
      </w:r>
    </w:p>
    <w:p>
      <w:pPr>
        <w:pStyle w:val="83"/>
        <w:spacing w:before="156" w:after="156"/>
      </w:pPr>
      <w:r>
        <w:rPr>
          <w:rFonts w:hint="eastAsia"/>
        </w:rPr>
        <w:t>陕西猕猴桃主栽品种鲜果主要感官品质指标要求</w:t>
      </w:r>
    </w:p>
    <w:tbl>
      <w:tblPr>
        <w:tblStyle w:val="36"/>
        <w:tblW w:w="882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5"/>
        <w:gridCol w:w="1631"/>
        <w:gridCol w:w="1968"/>
        <w:gridCol w:w="1936"/>
        <w:gridCol w:w="20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感官指标</w:t>
            </w:r>
          </w:p>
        </w:tc>
        <w:tc>
          <w:tcPr>
            <w:tcW w:w="1631" w:type="dxa"/>
            <w:shd w:val="clear" w:color="auto" w:fill="auto"/>
            <w:vAlign w:val="center"/>
          </w:tcPr>
          <w:p>
            <w:pPr>
              <w:jc w:val="center"/>
              <w:rPr>
                <w:rFonts w:ascii="宋体" w:hAnsi="宋体"/>
                <w:sz w:val="18"/>
                <w:szCs w:val="18"/>
              </w:rPr>
            </w:pPr>
            <w:r>
              <w:rPr>
                <w:rFonts w:hint="eastAsia" w:ascii="宋体" w:hAnsi="宋体"/>
                <w:sz w:val="18"/>
                <w:szCs w:val="18"/>
              </w:rPr>
              <w:t>徐香</w:t>
            </w:r>
          </w:p>
        </w:tc>
        <w:tc>
          <w:tcPr>
            <w:tcW w:w="1968" w:type="dxa"/>
            <w:shd w:val="clear" w:color="auto" w:fill="auto"/>
            <w:vAlign w:val="center"/>
          </w:tcPr>
          <w:p>
            <w:pPr>
              <w:jc w:val="center"/>
              <w:rPr>
                <w:rFonts w:ascii="宋体" w:hAnsi="宋体"/>
                <w:sz w:val="18"/>
                <w:szCs w:val="18"/>
              </w:rPr>
            </w:pPr>
            <w:r>
              <w:rPr>
                <w:rFonts w:hint="eastAsia" w:ascii="宋体" w:hAnsi="宋体"/>
                <w:sz w:val="18"/>
                <w:szCs w:val="18"/>
              </w:rPr>
              <w:t>翠香</w:t>
            </w:r>
          </w:p>
        </w:tc>
        <w:tc>
          <w:tcPr>
            <w:tcW w:w="1936" w:type="dxa"/>
            <w:vAlign w:val="center"/>
          </w:tcPr>
          <w:p>
            <w:pPr>
              <w:jc w:val="center"/>
              <w:rPr>
                <w:rFonts w:ascii="宋体" w:hAnsi="宋体"/>
                <w:sz w:val="18"/>
                <w:szCs w:val="18"/>
              </w:rPr>
            </w:pPr>
            <w:r>
              <w:rPr>
                <w:rFonts w:ascii="宋体" w:hAnsi="宋体"/>
                <w:sz w:val="18"/>
                <w:szCs w:val="18"/>
              </w:rPr>
              <w:t>海沃德</w:t>
            </w:r>
          </w:p>
        </w:tc>
        <w:tc>
          <w:tcPr>
            <w:tcW w:w="2076" w:type="dxa"/>
            <w:vAlign w:val="center"/>
          </w:tcPr>
          <w:p>
            <w:pPr>
              <w:jc w:val="center"/>
              <w:rPr>
                <w:rFonts w:ascii="宋体" w:hAnsi="宋体"/>
                <w:sz w:val="18"/>
                <w:szCs w:val="18"/>
              </w:rPr>
            </w:pPr>
            <w:r>
              <w:rPr>
                <w:rFonts w:ascii="宋体" w:hAnsi="宋体"/>
                <w:sz w:val="18"/>
                <w:szCs w:val="18"/>
              </w:rPr>
              <w:t>红心猕猴桃（红阳</w:t>
            </w:r>
            <w:r>
              <w:rPr>
                <w:rFonts w:hint="eastAsia" w:ascii="宋体" w:hAnsi="宋体"/>
                <w:sz w:val="18"/>
                <w:szCs w:val="18"/>
              </w:rPr>
              <w:t>/脐红</w:t>
            </w:r>
            <w:r>
              <w:rPr>
                <w:rFonts w:ascii="宋体" w:hAnsi="宋体"/>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果面</w:t>
            </w:r>
          </w:p>
        </w:tc>
        <w:tc>
          <w:tcPr>
            <w:tcW w:w="7611" w:type="dxa"/>
            <w:gridSpan w:val="4"/>
            <w:shd w:val="clear" w:color="auto" w:fill="auto"/>
            <w:vAlign w:val="center"/>
          </w:tcPr>
          <w:p>
            <w:pPr>
              <w:jc w:val="center"/>
              <w:rPr>
                <w:rFonts w:ascii="宋体" w:hAnsi="宋体"/>
                <w:sz w:val="18"/>
                <w:szCs w:val="18"/>
              </w:rPr>
            </w:pPr>
            <w:r>
              <w:rPr>
                <w:rFonts w:ascii="宋体" w:hAnsi="宋体"/>
                <w:sz w:val="18"/>
                <w:szCs w:val="18"/>
              </w:rPr>
              <w:t>果面洁净，无污染物，无斑迹，无明显皱缩，无腐烂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单果重（g）</w:t>
            </w:r>
          </w:p>
        </w:tc>
        <w:tc>
          <w:tcPr>
            <w:tcW w:w="1631" w:type="dxa"/>
            <w:shd w:val="clear" w:color="auto" w:fill="auto"/>
            <w:vAlign w:val="center"/>
          </w:tcPr>
          <w:p>
            <w:pPr>
              <w:jc w:val="center"/>
              <w:rPr>
                <w:rFonts w:ascii="宋体" w:hAnsi="宋体"/>
                <w:sz w:val="18"/>
                <w:szCs w:val="18"/>
              </w:rPr>
            </w:pPr>
            <w:r>
              <w:rPr>
                <w:rFonts w:ascii="宋体" w:hAnsi="宋体"/>
                <w:sz w:val="18"/>
                <w:szCs w:val="18"/>
              </w:rPr>
              <w:t>≥</w:t>
            </w:r>
            <w:r>
              <w:rPr>
                <w:rFonts w:hint="eastAsia" w:ascii="宋体" w:hAnsi="宋体"/>
                <w:sz w:val="18"/>
                <w:szCs w:val="18"/>
              </w:rPr>
              <w:t>70</w:t>
            </w:r>
          </w:p>
        </w:tc>
        <w:tc>
          <w:tcPr>
            <w:tcW w:w="1968" w:type="dxa"/>
            <w:shd w:val="clear" w:color="auto" w:fill="auto"/>
            <w:vAlign w:val="center"/>
          </w:tcPr>
          <w:p>
            <w:pPr>
              <w:jc w:val="center"/>
              <w:rPr>
                <w:rFonts w:ascii="宋体" w:hAnsi="宋体"/>
                <w:sz w:val="18"/>
                <w:szCs w:val="18"/>
              </w:rPr>
            </w:pPr>
            <w:r>
              <w:rPr>
                <w:rFonts w:ascii="宋体" w:hAnsi="宋体"/>
                <w:sz w:val="18"/>
                <w:szCs w:val="18"/>
              </w:rPr>
              <w:t>≥</w:t>
            </w:r>
            <w:r>
              <w:rPr>
                <w:rFonts w:hint="eastAsia" w:ascii="宋体" w:hAnsi="宋体"/>
                <w:sz w:val="18"/>
                <w:szCs w:val="18"/>
              </w:rPr>
              <w:t>70</w:t>
            </w:r>
          </w:p>
        </w:tc>
        <w:tc>
          <w:tcPr>
            <w:tcW w:w="1936" w:type="dxa"/>
            <w:vAlign w:val="center"/>
          </w:tcPr>
          <w:p>
            <w:pPr>
              <w:jc w:val="center"/>
              <w:rPr>
                <w:rFonts w:ascii="宋体" w:hAnsi="宋体"/>
                <w:sz w:val="18"/>
                <w:szCs w:val="18"/>
              </w:rPr>
            </w:pPr>
            <w:r>
              <w:rPr>
                <w:rFonts w:ascii="宋体" w:hAnsi="宋体"/>
                <w:sz w:val="18"/>
                <w:szCs w:val="18"/>
              </w:rPr>
              <w:t>≥</w:t>
            </w:r>
            <w:r>
              <w:rPr>
                <w:rFonts w:hint="eastAsia" w:ascii="宋体" w:hAnsi="宋体"/>
                <w:sz w:val="18"/>
                <w:szCs w:val="18"/>
              </w:rPr>
              <w:t>80</w:t>
            </w:r>
          </w:p>
        </w:tc>
        <w:tc>
          <w:tcPr>
            <w:tcW w:w="2076" w:type="dxa"/>
            <w:vAlign w:val="center"/>
          </w:tcPr>
          <w:p>
            <w:pPr>
              <w:jc w:val="center"/>
              <w:rPr>
                <w:rFonts w:ascii="宋体" w:hAnsi="宋体"/>
                <w:sz w:val="18"/>
                <w:szCs w:val="18"/>
              </w:rPr>
            </w:pPr>
            <w:r>
              <w:rPr>
                <w:rFonts w:ascii="宋体" w:hAnsi="宋体"/>
                <w:sz w:val="18"/>
                <w:szCs w:val="18"/>
              </w:rPr>
              <w:t>≥</w:t>
            </w:r>
            <w:r>
              <w:rPr>
                <w:rFonts w:hint="eastAsia" w:ascii="宋体" w:hAnsi="宋体"/>
                <w:sz w:val="18"/>
                <w:szCs w:val="18"/>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果形</w:t>
            </w:r>
          </w:p>
        </w:tc>
        <w:tc>
          <w:tcPr>
            <w:tcW w:w="7611" w:type="dxa"/>
            <w:gridSpan w:val="4"/>
            <w:shd w:val="clear" w:color="auto" w:fill="auto"/>
            <w:vAlign w:val="center"/>
          </w:tcPr>
          <w:p>
            <w:pPr>
              <w:jc w:val="center"/>
              <w:rPr>
                <w:rFonts w:ascii="宋体" w:hAnsi="宋体"/>
                <w:sz w:val="18"/>
                <w:szCs w:val="18"/>
              </w:rPr>
            </w:pPr>
            <w:r>
              <w:rPr>
                <w:rFonts w:ascii="宋体" w:hAnsi="宋体"/>
                <w:sz w:val="18"/>
                <w:szCs w:val="18"/>
              </w:rPr>
              <w:t>果实端正</w:t>
            </w:r>
            <w:r>
              <w:rPr>
                <w:rFonts w:hint="eastAsia" w:ascii="宋体" w:hAnsi="宋体"/>
                <w:sz w:val="18"/>
                <w:szCs w:val="18"/>
              </w:rPr>
              <w:t>，</w:t>
            </w:r>
            <w:r>
              <w:rPr>
                <w:rFonts w:ascii="宋体" w:hAnsi="宋体"/>
                <w:sz w:val="18"/>
                <w:szCs w:val="18"/>
              </w:rPr>
              <w:t>无畸形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果皮</w:t>
            </w:r>
          </w:p>
        </w:tc>
        <w:tc>
          <w:tcPr>
            <w:tcW w:w="1631" w:type="dxa"/>
            <w:shd w:val="clear" w:color="auto" w:fill="auto"/>
            <w:vAlign w:val="center"/>
          </w:tcPr>
          <w:p>
            <w:pPr>
              <w:jc w:val="center"/>
              <w:rPr>
                <w:rFonts w:ascii="宋体" w:hAnsi="宋体"/>
                <w:sz w:val="18"/>
                <w:szCs w:val="18"/>
              </w:rPr>
            </w:pPr>
            <w:r>
              <w:rPr>
                <w:rFonts w:ascii="宋体" w:hAnsi="宋体"/>
                <w:sz w:val="18"/>
                <w:szCs w:val="18"/>
              </w:rPr>
              <w:t>着色均匀，</w:t>
            </w:r>
            <w:r>
              <w:rPr>
                <w:rFonts w:hint="eastAsia" w:ascii="宋体" w:hAnsi="宋体"/>
                <w:sz w:val="18"/>
                <w:szCs w:val="18"/>
              </w:rPr>
              <w:t>棕</w:t>
            </w:r>
            <w:r>
              <w:rPr>
                <w:rFonts w:ascii="宋体" w:hAnsi="宋体"/>
                <w:sz w:val="18"/>
                <w:szCs w:val="18"/>
              </w:rPr>
              <w:t>褐色</w:t>
            </w:r>
          </w:p>
        </w:tc>
        <w:tc>
          <w:tcPr>
            <w:tcW w:w="1968" w:type="dxa"/>
            <w:shd w:val="clear" w:color="auto" w:fill="auto"/>
            <w:vAlign w:val="center"/>
          </w:tcPr>
          <w:p>
            <w:pPr>
              <w:jc w:val="center"/>
              <w:rPr>
                <w:rFonts w:ascii="宋体" w:hAnsi="宋体"/>
                <w:sz w:val="18"/>
                <w:szCs w:val="18"/>
              </w:rPr>
            </w:pPr>
            <w:r>
              <w:rPr>
                <w:rFonts w:ascii="宋体" w:hAnsi="宋体"/>
                <w:sz w:val="18"/>
                <w:szCs w:val="18"/>
              </w:rPr>
              <w:t>着色均匀，</w:t>
            </w:r>
            <w:r>
              <w:rPr>
                <w:rFonts w:hint="eastAsia" w:ascii="宋体" w:hAnsi="宋体"/>
                <w:sz w:val="18"/>
                <w:szCs w:val="18"/>
              </w:rPr>
              <w:t>棕褐色</w:t>
            </w:r>
          </w:p>
        </w:tc>
        <w:tc>
          <w:tcPr>
            <w:tcW w:w="1936" w:type="dxa"/>
            <w:vAlign w:val="center"/>
          </w:tcPr>
          <w:p>
            <w:pPr>
              <w:jc w:val="center"/>
              <w:rPr>
                <w:rFonts w:ascii="宋体" w:hAnsi="宋体"/>
                <w:sz w:val="18"/>
                <w:szCs w:val="18"/>
              </w:rPr>
            </w:pPr>
            <w:r>
              <w:rPr>
                <w:rFonts w:ascii="宋体" w:hAnsi="宋体"/>
                <w:sz w:val="18"/>
                <w:szCs w:val="18"/>
              </w:rPr>
              <w:t>着色均匀，呈黄褐色</w:t>
            </w:r>
          </w:p>
        </w:tc>
        <w:tc>
          <w:tcPr>
            <w:tcW w:w="2076" w:type="dxa"/>
            <w:vAlign w:val="center"/>
          </w:tcPr>
          <w:p>
            <w:pPr>
              <w:jc w:val="center"/>
              <w:rPr>
                <w:rFonts w:ascii="宋体" w:hAnsi="宋体"/>
                <w:sz w:val="18"/>
                <w:szCs w:val="18"/>
              </w:rPr>
            </w:pPr>
            <w:r>
              <w:rPr>
                <w:rFonts w:ascii="宋体" w:hAnsi="宋体"/>
                <w:sz w:val="18"/>
                <w:szCs w:val="18"/>
              </w:rPr>
              <w:t>着色均匀，暗绿色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果肉</w:t>
            </w:r>
          </w:p>
        </w:tc>
        <w:tc>
          <w:tcPr>
            <w:tcW w:w="1631" w:type="dxa"/>
            <w:shd w:val="clear" w:color="auto" w:fill="auto"/>
            <w:vAlign w:val="center"/>
          </w:tcPr>
          <w:p>
            <w:pPr>
              <w:jc w:val="center"/>
              <w:rPr>
                <w:rFonts w:ascii="宋体" w:hAnsi="宋体"/>
                <w:sz w:val="18"/>
                <w:szCs w:val="18"/>
              </w:rPr>
            </w:pPr>
            <w:r>
              <w:rPr>
                <w:rFonts w:hint="eastAsia" w:ascii="宋体" w:hAnsi="宋体"/>
                <w:sz w:val="18"/>
                <w:szCs w:val="18"/>
              </w:rPr>
              <w:t>浅绿色</w:t>
            </w:r>
          </w:p>
        </w:tc>
        <w:tc>
          <w:tcPr>
            <w:tcW w:w="1968" w:type="dxa"/>
            <w:shd w:val="clear" w:color="auto" w:fill="auto"/>
            <w:vAlign w:val="center"/>
          </w:tcPr>
          <w:p>
            <w:pPr>
              <w:jc w:val="center"/>
              <w:rPr>
                <w:rFonts w:ascii="宋体" w:hAnsi="宋体"/>
                <w:sz w:val="18"/>
                <w:szCs w:val="18"/>
              </w:rPr>
            </w:pPr>
            <w:r>
              <w:rPr>
                <w:rFonts w:hint="eastAsia" w:ascii="宋体" w:hAnsi="宋体"/>
                <w:sz w:val="18"/>
                <w:szCs w:val="18"/>
              </w:rPr>
              <w:t>浅</w:t>
            </w:r>
            <w:r>
              <w:rPr>
                <w:rFonts w:ascii="宋体" w:hAnsi="宋体"/>
                <w:sz w:val="18"/>
                <w:szCs w:val="18"/>
              </w:rPr>
              <w:t>绿色</w:t>
            </w:r>
          </w:p>
        </w:tc>
        <w:tc>
          <w:tcPr>
            <w:tcW w:w="1936" w:type="dxa"/>
            <w:vAlign w:val="center"/>
          </w:tcPr>
          <w:p>
            <w:pPr>
              <w:jc w:val="center"/>
              <w:rPr>
                <w:rFonts w:ascii="宋体" w:hAnsi="宋体"/>
                <w:sz w:val="18"/>
                <w:szCs w:val="18"/>
              </w:rPr>
            </w:pPr>
            <w:r>
              <w:rPr>
                <w:rFonts w:hint="eastAsia" w:ascii="宋体" w:hAnsi="宋体"/>
                <w:sz w:val="18"/>
                <w:szCs w:val="18"/>
              </w:rPr>
              <w:t>浅</w:t>
            </w:r>
            <w:r>
              <w:rPr>
                <w:rFonts w:ascii="宋体" w:hAnsi="宋体"/>
                <w:sz w:val="18"/>
                <w:szCs w:val="18"/>
              </w:rPr>
              <w:t>绿色</w:t>
            </w:r>
          </w:p>
        </w:tc>
        <w:tc>
          <w:tcPr>
            <w:tcW w:w="2076" w:type="dxa"/>
            <w:vAlign w:val="center"/>
          </w:tcPr>
          <w:p>
            <w:pPr>
              <w:jc w:val="center"/>
              <w:rPr>
                <w:rFonts w:ascii="宋体" w:hAnsi="宋体"/>
                <w:sz w:val="18"/>
                <w:szCs w:val="18"/>
              </w:rPr>
            </w:pPr>
            <w:r>
              <w:rPr>
                <w:rFonts w:ascii="宋体" w:hAnsi="宋体"/>
                <w:sz w:val="18"/>
                <w:szCs w:val="18"/>
              </w:rPr>
              <w:t>黄绿色果肉，辐射状红心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果心</w:t>
            </w:r>
          </w:p>
        </w:tc>
        <w:tc>
          <w:tcPr>
            <w:tcW w:w="1631" w:type="dxa"/>
            <w:shd w:val="clear" w:color="auto" w:fill="auto"/>
            <w:vAlign w:val="center"/>
          </w:tcPr>
          <w:p>
            <w:pPr>
              <w:jc w:val="center"/>
              <w:rPr>
                <w:rFonts w:ascii="宋体" w:hAnsi="宋体"/>
                <w:sz w:val="18"/>
                <w:szCs w:val="18"/>
              </w:rPr>
            </w:pPr>
            <w:r>
              <w:rPr>
                <w:rFonts w:ascii="宋体" w:hAnsi="宋体"/>
                <w:sz w:val="18"/>
                <w:szCs w:val="18"/>
              </w:rPr>
              <w:t>无空心</w:t>
            </w:r>
          </w:p>
        </w:tc>
        <w:tc>
          <w:tcPr>
            <w:tcW w:w="1968" w:type="dxa"/>
            <w:shd w:val="clear" w:color="auto" w:fill="auto"/>
            <w:vAlign w:val="center"/>
          </w:tcPr>
          <w:p>
            <w:pPr>
              <w:jc w:val="center"/>
              <w:rPr>
                <w:rFonts w:ascii="宋体" w:hAnsi="宋体"/>
                <w:sz w:val="18"/>
                <w:szCs w:val="18"/>
              </w:rPr>
            </w:pPr>
            <w:r>
              <w:rPr>
                <w:rFonts w:ascii="宋体" w:hAnsi="宋体"/>
                <w:sz w:val="18"/>
                <w:szCs w:val="18"/>
              </w:rPr>
              <w:t>无空心</w:t>
            </w:r>
          </w:p>
        </w:tc>
        <w:tc>
          <w:tcPr>
            <w:tcW w:w="1936" w:type="dxa"/>
            <w:vAlign w:val="center"/>
          </w:tcPr>
          <w:p>
            <w:pPr>
              <w:jc w:val="center"/>
              <w:rPr>
                <w:rFonts w:ascii="宋体" w:hAnsi="宋体"/>
                <w:sz w:val="18"/>
                <w:szCs w:val="18"/>
              </w:rPr>
            </w:pPr>
            <w:r>
              <w:rPr>
                <w:rFonts w:ascii="宋体" w:hAnsi="宋体"/>
                <w:sz w:val="18"/>
                <w:szCs w:val="18"/>
              </w:rPr>
              <w:t>无空心</w:t>
            </w:r>
          </w:p>
        </w:tc>
        <w:tc>
          <w:tcPr>
            <w:tcW w:w="2076" w:type="dxa"/>
            <w:vAlign w:val="center"/>
          </w:tcPr>
          <w:p>
            <w:pPr>
              <w:jc w:val="center"/>
              <w:rPr>
                <w:rFonts w:ascii="宋体" w:hAnsi="宋体"/>
                <w:sz w:val="18"/>
                <w:szCs w:val="18"/>
              </w:rPr>
            </w:pPr>
            <w:r>
              <w:rPr>
                <w:rFonts w:ascii="宋体" w:hAnsi="宋体"/>
                <w:sz w:val="18"/>
                <w:szCs w:val="18"/>
              </w:rPr>
              <w:t>无空心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3"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缺陷果（%）</w:t>
            </w:r>
          </w:p>
        </w:tc>
        <w:tc>
          <w:tcPr>
            <w:tcW w:w="1631" w:type="dxa"/>
            <w:shd w:val="clear" w:color="auto" w:fill="auto"/>
            <w:vAlign w:val="center"/>
          </w:tcPr>
          <w:p>
            <w:pPr>
              <w:jc w:val="center"/>
              <w:rPr>
                <w:rFonts w:ascii="宋体" w:hAnsi="宋体"/>
                <w:sz w:val="18"/>
                <w:szCs w:val="18"/>
              </w:rPr>
            </w:pPr>
            <w:r>
              <w:rPr>
                <w:rFonts w:ascii="宋体" w:hAnsi="宋体"/>
                <w:sz w:val="18"/>
                <w:szCs w:val="18"/>
              </w:rPr>
              <w:t>一般缺陷≤</w:t>
            </w:r>
            <w:r>
              <w:rPr>
                <w:rFonts w:hint="eastAsia" w:ascii="宋体" w:hAnsi="宋体"/>
                <w:sz w:val="18"/>
                <w:szCs w:val="18"/>
              </w:rPr>
              <w:t>2</w:t>
            </w:r>
            <w:r>
              <w:rPr>
                <w:rFonts w:ascii="宋体" w:hAnsi="宋体"/>
                <w:sz w:val="18"/>
                <w:szCs w:val="18"/>
              </w:rPr>
              <w:t>%</w:t>
            </w:r>
          </w:p>
        </w:tc>
        <w:tc>
          <w:tcPr>
            <w:tcW w:w="1968" w:type="dxa"/>
            <w:shd w:val="clear" w:color="auto" w:fill="auto"/>
            <w:vAlign w:val="center"/>
          </w:tcPr>
          <w:p>
            <w:pPr>
              <w:jc w:val="center"/>
              <w:rPr>
                <w:rFonts w:ascii="宋体" w:hAnsi="宋体"/>
                <w:sz w:val="18"/>
                <w:szCs w:val="18"/>
              </w:rPr>
            </w:pPr>
            <w:r>
              <w:rPr>
                <w:rFonts w:ascii="宋体" w:hAnsi="宋体"/>
                <w:sz w:val="18"/>
                <w:szCs w:val="18"/>
              </w:rPr>
              <w:t>一般缺陷≤</w:t>
            </w:r>
            <w:r>
              <w:rPr>
                <w:rFonts w:hint="eastAsia" w:ascii="宋体" w:hAnsi="宋体"/>
                <w:sz w:val="18"/>
                <w:szCs w:val="18"/>
              </w:rPr>
              <w:t>2</w:t>
            </w:r>
            <w:r>
              <w:rPr>
                <w:rFonts w:ascii="宋体" w:hAnsi="宋体"/>
                <w:sz w:val="18"/>
                <w:szCs w:val="18"/>
              </w:rPr>
              <w:t>%</w:t>
            </w:r>
          </w:p>
        </w:tc>
        <w:tc>
          <w:tcPr>
            <w:tcW w:w="1936" w:type="dxa"/>
            <w:vAlign w:val="center"/>
          </w:tcPr>
          <w:p>
            <w:pPr>
              <w:jc w:val="center"/>
              <w:rPr>
                <w:rFonts w:ascii="宋体" w:hAnsi="宋体"/>
                <w:sz w:val="18"/>
                <w:szCs w:val="18"/>
              </w:rPr>
            </w:pPr>
            <w:r>
              <w:rPr>
                <w:rFonts w:ascii="宋体" w:hAnsi="宋体"/>
                <w:sz w:val="18"/>
                <w:szCs w:val="18"/>
              </w:rPr>
              <w:t>一般缺陷≤</w:t>
            </w:r>
            <w:r>
              <w:rPr>
                <w:rFonts w:hint="eastAsia" w:ascii="宋体" w:hAnsi="宋体"/>
                <w:sz w:val="18"/>
                <w:szCs w:val="18"/>
              </w:rPr>
              <w:t>2</w:t>
            </w:r>
            <w:r>
              <w:rPr>
                <w:rFonts w:ascii="宋体" w:hAnsi="宋体"/>
                <w:sz w:val="18"/>
                <w:szCs w:val="18"/>
              </w:rPr>
              <w:t>%</w:t>
            </w:r>
          </w:p>
        </w:tc>
        <w:tc>
          <w:tcPr>
            <w:tcW w:w="2076" w:type="dxa"/>
            <w:vAlign w:val="center"/>
          </w:tcPr>
          <w:p>
            <w:pPr>
              <w:jc w:val="center"/>
              <w:rPr>
                <w:rFonts w:ascii="宋体" w:hAnsi="宋体"/>
                <w:sz w:val="18"/>
                <w:szCs w:val="18"/>
              </w:rPr>
            </w:pPr>
            <w:r>
              <w:rPr>
                <w:rFonts w:ascii="宋体" w:hAnsi="宋体"/>
                <w:sz w:val="18"/>
                <w:szCs w:val="18"/>
              </w:rPr>
              <w:t>一般缺陷≤</w:t>
            </w:r>
            <w:r>
              <w:rPr>
                <w:rFonts w:hint="eastAsia" w:ascii="宋体" w:hAnsi="宋体"/>
                <w:sz w:val="18"/>
                <w:szCs w:val="18"/>
              </w:rPr>
              <w:t>3</w:t>
            </w:r>
            <w:r>
              <w:rPr>
                <w:rFonts w:ascii="宋体" w:hAnsi="宋体"/>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风味</w:t>
            </w:r>
          </w:p>
        </w:tc>
        <w:tc>
          <w:tcPr>
            <w:tcW w:w="7611" w:type="dxa"/>
            <w:gridSpan w:val="4"/>
            <w:shd w:val="clear" w:color="auto" w:fill="auto"/>
            <w:vAlign w:val="center"/>
          </w:tcPr>
          <w:p>
            <w:pPr>
              <w:jc w:val="center"/>
              <w:rPr>
                <w:rFonts w:ascii="宋体" w:hAnsi="宋体"/>
                <w:sz w:val="18"/>
                <w:szCs w:val="18"/>
              </w:rPr>
            </w:pPr>
            <w:r>
              <w:rPr>
                <w:rFonts w:ascii="宋体" w:hAnsi="宋体"/>
                <w:sz w:val="18"/>
                <w:szCs w:val="18"/>
              </w:rPr>
              <w:t>具有品种固有的风味，无异味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4" w:hRule="exact"/>
          <w:jc w:val="center"/>
        </w:trPr>
        <w:tc>
          <w:tcPr>
            <w:tcW w:w="1215" w:type="dxa"/>
            <w:shd w:val="clear" w:color="auto" w:fill="auto"/>
            <w:vAlign w:val="center"/>
          </w:tcPr>
          <w:p>
            <w:pPr>
              <w:jc w:val="center"/>
              <w:rPr>
                <w:rFonts w:ascii="宋体" w:hAnsi="宋体"/>
                <w:sz w:val="18"/>
                <w:szCs w:val="18"/>
              </w:rPr>
            </w:pPr>
            <w:r>
              <w:rPr>
                <w:rFonts w:ascii="宋体" w:hAnsi="宋体"/>
                <w:sz w:val="18"/>
                <w:szCs w:val="18"/>
              </w:rPr>
              <w:t>硬度</w:t>
            </w:r>
          </w:p>
        </w:tc>
        <w:tc>
          <w:tcPr>
            <w:tcW w:w="7611" w:type="dxa"/>
            <w:gridSpan w:val="4"/>
            <w:shd w:val="clear" w:color="auto" w:fill="auto"/>
            <w:vAlign w:val="center"/>
          </w:tcPr>
          <w:p>
            <w:pPr>
              <w:jc w:val="center"/>
              <w:rPr>
                <w:rFonts w:ascii="宋体" w:hAnsi="宋体"/>
                <w:sz w:val="18"/>
                <w:szCs w:val="18"/>
              </w:rPr>
            </w:pPr>
            <w:r>
              <w:rPr>
                <w:rFonts w:ascii="宋体" w:hAnsi="宋体"/>
                <w:sz w:val="18"/>
                <w:szCs w:val="18"/>
              </w:rPr>
              <w:t>采收时达到生理成熟指标，无</w:t>
            </w:r>
            <w:r>
              <w:rPr>
                <w:rFonts w:hint="eastAsia" w:ascii="宋体" w:hAnsi="宋体"/>
                <w:sz w:val="18"/>
                <w:szCs w:val="18"/>
              </w:rPr>
              <w:t>手</w:t>
            </w:r>
            <w:r>
              <w:rPr>
                <w:rFonts w:ascii="宋体" w:hAnsi="宋体"/>
                <w:sz w:val="18"/>
                <w:szCs w:val="18"/>
              </w:rPr>
              <w:t>感</w:t>
            </w:r>
          </w:p>
        </w:tc>
      </w:tr>
    </w:tbl>
    <w:p>
      <w:pPr>
        <w:pStyle w:val="83"/>
        <w:spacing w:before="156" w:after="156"/>
      </w:pPr>
      <w:r>
        <w:rPr>
          <w:rFonts w:hint="eastAsia"/>
        </w:rPr>
        <w:t>陕西猕猴桃主栽品种鲜果生理成熟和可食状态的理化指标要求</w:t>
      </w:r>
    </w:p>
    <w:tbl>
      <w:tblPr>
        <w:tblStyle w:val="36"/>
        <w:tblW w:w="906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6"/>
        <w:gridCol w:w="1555"/>
        <w:gridCol w:w="1557"/>
        <w:gridCol w:w="1552"/>
        <w:gridCol w:w="1560"/>
        <w:gridCol w:w="11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99" w:hRule="atLeast"/>
          <w:jc w:val="center"/>
        </w:trPr>
        <w:tc>
          <w:tcPr>
            <w:tcW w:w="1706" w:type="dxa"/>
            <w:vMerge w:val="restart"/>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指标</w:t>
            </w:r>
          </w:p>
        </w:tc>
        <w:tc>
          <w:tcPr>
            <w:tcW w:w="3112" w:type="dxa"/>
            <w:gridSpan w:val="2"/>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可溶性固形物（%）</w:t>
            </w:r>
          </w:p>
        </w:tc>
        <w:tc>
          <w:tcPr>
            <w:tcW w:w="1552" w:type="dxa"/>
            <w:vMerge w:val="restart"/>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干物质（%）</w:t>
            </w:r>
          </w:p>
        </w:tc>
        <w:tc>
          <w:tcPr>
            <w:tcW w:w="2697" w:type="dxa"/>
            <w:gridSpan w:val="2"/>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果实硬度（N）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5" w:hRule="atLeast"/>
          <w:jc w:val="center"/>
        </w:trPr>
        <w:tc>
          <w:tcPr>
            <w:tcW w:w="1706" w:type="dxa"/>
            <w:vMerge w:val="continue"/>
            <w:vAlign w:val="center"/>
          </w:tcPr>
          <w:p>
            <w:pPr>
              <w:widowControl/>
              <w:tabs>
                <w:tab w:val="center" w:pos="4201"/>
                <w:tab w:val="right" w:leader="dot" w:pos="9298"/>
              </w:tabs>
              <w:autoSpaceDE w:val="0"/>
              <w:autoSpaceDN w:val="0"/>
              <w:jc w:val="center"/>
              <w:rPr>
                <w:rFonts w:ascii="宋体" w:hAnsi="宋体"/>
                <w:kern w:val="0"/>
                <w:sz w:val="18"/>
                <w:szCs w:val="18"/>
              </w:rPr>
            </w:pPr>
          </w:p>
        </w:tc>
        <w:tc>
          <w:tcPr>
            <w:tcW w:w="1555"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生理成熟状态</w:t>
            </w:r>
          </w:p>
        </w:tc>
        <w:tc>
          <w:tcPr>
            <w:tcW w:w="155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可食状态</w:t>
            </w:r>
          </w:p>
        </w:tc>
        <w:tc>
          <w:tcPr>
            <w:tcW w:w="1552" w:type="dxa"/>
            <w:vMerge w:val="continue"/>
            <w:vAlign w:val="center"/>
          </w:tcPr>
          <w:p>
            <w:pPr>
              <w:widowControl/>
              <w:tabs>
                <w:tab w:val="center" w:pos="4201"/>
                <w:tab w:val="right" w:leader="dot" w:pos="9298"/>
              </w:tabs>
              <w:autoSpaceDE w:val="0"/>
              <w:autoSpaceDN w:val="0"/>
              <w:jc w:val="center"/>
              <w:rPr>
                <w:rFonts w:ascii="宋体" w:hAnsi="宋体"/>
                <w:kern w:val="0"/>
                <w:sz w:val="18"/>
                <w:szCs w:val="18"/>
              </w:rPr>
            </w:pPr>
          </w:p>
        </w:tc>
        <w:tc>
          <w:tcPr>
            <w:tcW w:w="1560"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生理成熟状态</w:t>
            </w:r>
          </w:p>
        </w:tc>
        <w:tc>
          <w:tcPr>
            <w:tcW w:w="113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可食状态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2" w:hRule="atLeast"/>
          <w:jc w:val="center"/>
        </w:trPr>
        <w:tc>
          <w:tcPr>
            <w:tcW w:w="1706"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徐香</w:t>
            </w:r>
          </w:p>
        </w:tc>
        <w:tc>
          <w:tcPr>
            <w:tcW w:w="1555"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≥6.5</w:t>
            </w:r>
          </w:p>
        </w:tc>
        <w:tc>
          <w:tcPr>
            <w:tcW w:w="155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5.5</w:t>
            </w:r>
          </w:p>
        </w:tc>
        <w:tc>
          <w:tcPr>
            <w:tcW w:w="1552"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6.5</w:t>
            </w:r>
          </w:p>
        </w:tc>
        <w:tc>
          <w:tcPr>
            <w:tcW w:w="1560"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100~120</w:t>
            </w:r>
          </w:p>
        </w:tc>
        <w:tc>
          <w:tcPr>
            <w:tcW w:w="113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6~12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2" w:hRule="atLeast"/>
          <w:jc w:val="center"/>
        </w:trPr>
        <w:tc>
          <w:tcPr>
            <w:tcW w:w="1706"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翠香</w:t>
            </w:r>
          </w:p>
        </w:tc>
        <w:tc>
          <w:tcPr>
            <w:tcW w:w="1555"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≥6.2</w:t>
            </w:r>
          </w:p>
        </w:tc>
        <w:tc>
          <w:tcPr>
            <w:tcW w:w="155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6</w:t>
            </w:r>
          </w:p>
        </w:tc>
        <w:tc>
          <w:tcPr>
            <w:tcW w:w="1552"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6.5</w:t>
            </w:r>
          </w:p>
        </w:tc>
        <w:tc>
          <w:tcPr>
            <w:tcW w:w="1560"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90~110</w:t>
            </w:r>
          </w:p>
        </w:tc>
        <w:tc>
          <w:tcPr>
            <w:tcW w:w="113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6~12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2" w:hRule="atLeast"/>
          <w:jc w:val="center"/>
        </w:trPr>
        <w:tc>
          <w:tcPr>
            <w:tcW w:w="1706"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海沃德</w:t>
            </w:r>
          </w:p>
        </w:tc>
        <w:tc>
          <w:tcPr>
            <w:tcW w:w="1555"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≥6.2</w:t>
            </w:r>
          </w:p>
        </w:tc>
        <w:tc>
          <w:tcPr>
            <w:tcW w:w="155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4.5</w:t>
            </w:r>
          </w:p>
        </w:tc>
        <w:tc>
          <w:tcPr>
            <w:tcW w:w="1552"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5.5</w:t>
            </w:r>
          </w:p>
        </w:tc>
        <w:tc>
          <w:tcPr>
            <w:tcW w:w="1560"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100~130</w:t>
            </w:r>
          </w:p>
        </w:tc>
        <w:tc>
          <w:tcPr>
            <w:tcW w:w="113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8~12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1706"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红阳/脐红</w:t>
            </w:r>
          </w:p>
        </w:tc>
        <w:tc>
          <w:tcPr>
            <w:tcW w:w="1555"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≥6.5</w:t>
            </w:r>
          </w:p>
        </w:tc>
        <w:tc>
          <w:tcPr>
            <w:tcW w:w="155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7</w:t>
            </w:r>
          </w:p>
        </w:tc>
        <w:tc>
          <w:tcPr>
            <w:tcW w:w="1552"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w:t>
            </w:r>
            <w:r>
              <w:rPr>
                <w:rFonts w:hint="eastAsia" w:ascii="宋体" w:hAnsi="宋体"/>
                <w:kern w:val="0"/>
                <w:sz w:val="18"/>
                <w:szCs w:val="18"/>
              </w:rPr>
              <w:t>19</w:t>
            </w:r>
          </w:p>
        </w:tc>
        <w:tc>
          <w:tcPr>
            <w:tcW w:w="1560"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100~110</w:t>
            </w:r>
          </w:p>
        </w:tc>
        <w:tc>
          <w:tcPr>
            <w:tcW w:w="1137" w:type="dxa"/>
            <w:vAlign w:val="center"/>
          </w:tcPr>
          <w:p>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5~12</w:t>
            </w:r>
          </w:p>
        </w:tc>
      </w:tr>
    </w:tbl>
    <w:p>
      <w:pPr>
        <w:widowControl/>
        <w:tabs>
          <w:tab w:val="center" w:pos="4201"/>
          <w:tab w:val="right" w:leader="dot" w:pos="9298"/>
        </w:tabs>
        <w:autoSpaceDE w:val="0"/>
        <w:autoSpaceDN w:val="0"/>
        <w:adjustRightInd/>
        <w:spacing w:line="360" w:lineRule="exact"/>
        <w:rPr>
          <w:rFonts w:ascii="Times New Roman" w:hAnsi="Times New Roman"/>
        </w:rPr>
      </w:pPr>
    </w:p>
    <w:p>
      <w:pPr>
        <w:widowControl/>
        <w:adjustRightInd/>
        <w:spacing w:before="156" w:beforeLines="50" w:after="156" w:afterLines="50" w:line="360" w:lineRule="exact"/>
        <w:jc w:val="center"/>
        <w:outlineLvl w:val="2"/>
        <w:rPr>
          <w:color w:val="000000" w:themeColor="text1"/>
          <w14:textFill>
            <w14:solidFill>
              <w14:schemeClr w14:val="tx1"/>
            </w14:solidFill>
          </w14:textFill>
        </w:rPr>
        <w:sectPr>
          <w:pgSz w:w="11906" w:h="16838"/>
          <w:pgMar w:top="1928" w:right="1134" w:bottom="1134" w:left="1134" w:header="1418" w:footer="1134" w:gutter="284"/>
          <w:cols w:space="425" w:num="1"/>
          <w:formProt w:val="0"/>
          <w:docGrid w:type="lines" w:linePitch="312" w:charSpace="0"/>
        </w:sectPr>
      </w:pPr>
      <w:r>
        <w:drawing>
          <wp:inline distT="0" distB="0" distL="0" distR="0">
            <wp:extent cx="1485900" cy="317500"/>
            <wp:effectExtent l="0" t="0" r="0" b="6350"/>
            <wp:docPr id="10"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029"/>
                    <pic:cNvPicPr>
                      <a:picLocks noChangeAspect="1"/>
                    </pic:cNvPicPr>
                  </pic:nvPicPr>
                  <pic:blipFill>
                    <a:blip r:embed="rId14"/>
                    <a:stretch>
                      <a:fillRect/>
                    </a:stretch>
                  </pic:blipFill>
                  <pic:spPr>
                    <a:xfrm>
                      <a:off x="0" y="0"/>
                      <a:ext cx="1485900" cy="317500"/>
                    </a:xfrm>
                    <a:prstGeom prst="rect">
                      <a:avLst/>
                    </a:prstGeom>
                  </pic:spPr>
                </pic:pic>
              </a:graphicData>
            </a:graphic>
          </wp:inline>
        </w:drawing>
      </w:r>
    </w:p>
    <w:bookmarkEnd w:id="21"/>
    <w:bookmarkEnd w:id="43"/>
    <w:bookmarkEnd w:id="44"/>
    <w:p>
      <w:pPr>
        <w:pStyle w:val="203"/>
        <w:numPr>
          <w:ilvl w:val="0"/>
          <w:numId w:val="30"/>
        </w:numPr>
        <w:ind w:firstLine="0"/>
        <w:rPr>
          <w:vanish w:val="0"/>
          <w:color w:val="000000" w:themeColor="text1"/>
          <w14:textFill>
            <w14:solidFill>
              <w14:schemeClr w14:val="tx1"/>
            </w14:solidFill>
          </w14:textFill>
        </w:rPr>
      </w:pP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3">
    <w:nsid w:val="45EE0BEA"/>
    <w:multiLevelType w:val="multilevel"/>
    <w:tmpl w:val="45EE0BEA"/>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color w:val="auto"/>
        <w:sz w:val="21"/>
      </w:rPr>
    </w:lvl>
    <w:lvl w:ilvl="2" w:tentative="0">
      <w:start w:val="1"/>
      <w:numFmt w:val="decimal"/>
      <w:pStyle w:val="110"/>
      <w:suff w:val="nothing"/>
      <w:lvlText w:val="%1%2.%3　"/>
      <w:lvlJc w:val="left"/>
      <w:pPr>
        <w:ind w:left="1134"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71"/>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CC2E21"/>
    <w:multiLevelType w:val="multilevel"/>
    <w:tmpl w:val="47CC2E21"/>
    <w:lvl w:ilvl="0" w:tentative="0">
      <w:start w:val="1"/>
      <w:numFmt w:val="lowerLetter"/>
      <w:pStyle w:val="102"/>
      <w:lvlText w:val="%1)"/>
      <w:lvlJc w:val="left"/>
      <w:pPr>
        <w:tabs>
          <w:tab w:val="left" w:pos="823"/>
        </w:tabs>
        <w:ind w:left="823"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6">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3"/>
  </w:num>
  <w:num w:numId="2">
    <w:abstractNumId w:val="24"/>
  </w:num>
  <w:num w:numId="3">
    <w:abstractNumId w:val="28"/>
  </w:num>
  <w:num w:numId="4">
    <w:abstractNumId w:val="8"/>
  </w:num>
  <w:num w:numId="5">
    <w:abstractNumId w:val="10"/>
  </w:num>
  <w:num w:numId="6">
    <w:abstractNumId w:val="14"/>
  </w:num>
  <w:num w:numId="7">
    <w:abstractNumId w:val="22"/>
  </w:num>
  <w:num w:numId="8">
    <w:abstractNumId w:val="20"/>
  </w:num>
  <w:num w:numId="9">
    <w:abstractNumId w:val="16"/>
  </w:num>
  <w:num w:numId="10">
    <w:abstractNumId w:val="23"/>
  </w:num>
  <w:num w:numId="11">
    <w:abstractNumId w:val="1"/>
  </w:num>
  <w:num w:numId="12">
    <w:abstractNumId w:val="21"/>
  </w:num>
  <w:num w:numId="13">
    <w:abstractNumId w:val="15"/>
  </w:num>
  <w:num w:numId="14">
    <w:abstractNumId w:val="3"/>
  </w:num>
  <w:num w:numId="15">
    <w:abstractNumId w:val="12"/>
  </w:num>
  <w:num w:numId="16">
    <w:abstractNumId w:val="18"/>
  </w:num>
  <w:num w:numId="17">
    <w:abstractNumId w:val="11"/>
  </w:num>
  <w:num w:numId="18">
    <w:abstractNumId w:val="9"/>
  </w:num>
  <w:num w:numId="19">
    <w:abstractNumId w:val="27"/>
  </w:num>
  <w:num w:numId="20">
    <w:abstractNumId w:val="19"/>
  </w:num>
  <w:num w:numId="21">
    <w:abstractNumId w:val="7"/>
  </w:num>
  <w:num w:numId="22">
    <w:abstractNumId w:val="5"/>
  </w:num>
  <w:num w:numId="23">
    <w:abstractNumId w:val="29"/>
  </w:num>
  <w:num w:numId="24">
    <w:abstractNumId w:val="0"/>
  </w:num>
  <w:num w:numId="25">
    <w:abstractNumId w:val="25"/>
  </w:num>
  <w:num w:numId="26">
    <w:abstractNumId w:val="6"/>
  </w:num>
  <w:num w:numId="27">
    <w:abstractNumId w:val="4"/>
  </w:num>
  <w:num w:numId="28">
    <w:abstractNumId w:val="26"/>
  </w:num>
  <w:num w:numId="29">
    <w:abstractNumId w:val="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1322EF"/>
    <w:rsid w:val="001511FA"/>
    <w:rsid w:val="002A7005"/>
    <w:rsid w:val="00326251"/>
    <w:rsid w:val="00351A76"/>
    <w:rsid w:val="003638E2"/>
    <w:rsid w:val="003D4FFA"/>
    <w:rsid w:val="0046111A"/>
    <w:rsid w:val="00491B4B"/>
    <w:rsid w:val="004F3FC3"/>
    <w:rsid w:val="00622BBA"/>
    <w:rsid w:val="00676AFB"/>
    <w:rsid w:val="006A057E"/>
    <w:rsid w:val="006F567C"/>
    <w:rsid w:val="00715B5C"/>
    <w:rsid w:val="007D3362"/>
    <w:rsid w:val="00922F41"/>
    <w:rsid w:val="0094512A"/>
    <w:rsid w:val="009C2EE3"/>
    <w:rsid w:val="009D01A2"/>
    <w:rsid w:val="00A15977"/>
    <w:rsid w:val="00AC031E"/>
    <w:rsid w:val="00AE076C"/>
    <w:rsid w:val="00B4015F"/>
    <w:rsid w:val="00B765E5"/>
    <w:rsid w:val="00B94E45"/>
    <w:rsid w:val="00C1442C"/>
    <w:rsid w:val="00C728BC"/>
    <w:rsid w:val="00CE1FA7"/>
    <w:rsid w:val="00CF075E"/>
    <w:rsid w:val="00DB4AAA"/>
    <w:rsid w:val="00DF1ADC"/>
    <w:rsid w:val="00E444F8"/>
    <w:rsid w:val="00E45ACE"/>
    <w:rsid w:val="00E75CBD"/>
    <w:rsid w:val="00E81B8D"/>
    <w:rsid w:val="00FA35C7"/>
    <w:rsid w:val="00FC4910"/>
    <w:rsid w:val="0BA20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0"/>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3"/>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5"/>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6"/>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link w:val="2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adjustRightInd w:val="0"/>
      <w:snapToGrid w:val="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8"/>
      </w:numPr>
    </w:pPr>
  </w:style>
  <w:style w:type="paragraph" w:customStyle="1" w:styleId="99">
    <w:name w:val="标准文件_三级条标题"/>
    <w:basedOn w:val="7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9"/>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tabs>
        <w:tab w:val="left" w:pos="539"/>
      </w:tabs>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0"/>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1"/>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2"/>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3"/>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4"/>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5"/>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6"/>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7"/>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18"/>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7"/>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7"/>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7"/>
      </w:numPr>
      <w:adjustRightInd/>
    </w:pPr>
    <w:rPr>
      <w:szCs w:val="24"/>
    </w:rPr>
  </w:style>
  <w:style w:type="paragraph" w:customStyle="1" w:styleId="164">
    <w:name w:val="一级无标题条"/>
    <w:basedOn w:val="1"/>
    <w:qFormat/>
    <w:uiPriority w:val="0"/>
    <w:pPr>
      <w:numPr>
        <w:ilvl w:val="2"/>
        <w:numId w:val="17"/>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19"/>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0"/>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1"/>
      </w:numPr>
      <w:spacing w:line="300" w:lineRule="auto"/>
    </w:pPr>
    <w:rPr>
      <w:rFonts w:ascii="Times New Roman" w:hAnsi="Times New Roman"/>
    </w:rPr>
  </w:style>
  <w:style w:type="paragraph" w:customStyle="1" w:styleId="178">
    <w:name w:val="图表脚注说明"/>
    <w:basedOn w:val="1"/>
    <w:qFormat/>
    <w:uiPriority w:val="0"/>
    <w:pPr>
      <w:numPr>
        <w:ilvl w:val="0"/>
        <w:numId w:val="22"/>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0"/>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4"/>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5"/>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6"/>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1"/>
      </w:numPr>
      <w:ind w:firstLine="0" w:firstLineChars="0"/>
    </w:pPr>
  </w:style>
  <w:style w:type="paragraph" w:customStyle="1" w:styleId="193">
    <w:name w:val="标准文件_三级项2"/>
    <w:basedOn w:val="62"/>
    <w:qFormat/>
    <w:uiPriority w:val="0"/>
    <w:pPr>
      <w:numPr>
        <w:ilvl w:val="0"/>
        <w:numId w:val="27"/>
      </w:numPr>
      <w:spacing w:line="300" w:lineRule="exact"/>
      <w:ind w:firstLineChars="0"/>
    </w:pPr>
    <w:rPr>
      <w:rFonts w:ascii="Times New Roman"/>
    </w:rPr>
  </w:style>
  <w:style w:type="paragraph" w:customStyle="1" w:styleId="194">
    <w:name w:val="标准文件_一级项2"/>
    <w:basedOn w:val="62"/>
    <w:qFormat/>
    <w:uiPriority w:val="0"/>
    <w:pPr>
      <w:numPr>
        <w:ilvl w:val="0"/>
        <w:numId w:val="28"/>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4"/>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7"/>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7"/>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7"/>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7"/>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7"/>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qFormat/>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29"/>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29"/>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 w:type="paragraph" w:customStyle="1" w:styleId="250">
    <w:name w:val="Table Paragraph"/>
    <w:basedOn w:val="1"/>
    <w:qFormat/>
    <w:uiPriority w:val="0"/>
    <w:pPr>
      <w:autoSpaceDE w:val="0"/>
      <w:autoSpaceDN w:val="0"/>
      <w:adjustRightInd/>
      <w:spacing w:line="240" w:lineRule="auto"/>
      <w:jc w:val="left"/>
    </w:pPr>
    <w:rPr>
      <w:rFonts w:ascii="宋体" w:hAnsi="宋体" w:cs="宋体"/>
      <w:kern w:val="0"/>
      <w:sz w:val="22"/>
      <w:szCs w:val="22"/>
    </w:rPr>
  </w:style>
  <w:style w:type="character" w:customStyle="1" w:styleId="251">
    <w:name w:val="标准文件_附录章标题 Char"/>
    <w:link w:val="92"/>
    <w:uiPriority w:val="0"/>
    <w:rPr>
      <w:rFonts w:ascii="黑体" w:hAnsi="Times New Roman" w:eastAsia="黑体" w:cs="Times New Roman"/>
      <w:kern w:val="21"/>
      <w:szCs w:val="20"/>
    </w:rPr>
  </w:style>
  <w:style w:type="paragraph" w:customStyle="1" w:styleId="252">
    <w:name w:val="附录标识"/>
    <w:basedOn w:val="1"/>
    <w:next w:val="246"/>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3">
    <w:name w:val="附录二级条标题"/>
    <w:basedOn w:val="1"/>
    <w:next w:val="246"/>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54">
    <w:name w:val="附录三级条标题"/>
    <w:basedOn w:val="253"/>
    <w:next w:val="246"/>
    <w:uiPriority w:val="0"/>
    <w:pPr>
      <w:outlineLvl w:val="4"/>
    </w:pPr>
  </w:style>
  <w:style w:type="paragraph" w:customStyle="1" w:styleId="255">
    <w:name w:val="附录四级条标题"/>
    <w:basedOn w:val="254"/>
    <w:next w:val="246"/>
    <w:uiPriority w:val="0"/>
    <w:pPr>
      <w:outlineLvl w:val="5"/>
    </w:pPr>
  </w:style>
  <w:style w:type="paragraph" w:customStyle="1" w:styleId="256">
    <w:name w:val="附录五级条标题"/>
    <w:basedOn w:val="255"/>
    <w:next w:val="246"/>
    <w:uiPriority w:val="0"/>
    <w:pPr>
      <w:outlineLvl w:val="6"/>
    </w:pPr>
  </w:style>
  <w:style w:type="paragraph" w:customStyle="1" w:styleId="257">
    <w:name w:val="附录章标题"/>
    <w:next w:val="246"/>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258">
    <w:name w:val="附录一级条标题"/>
    <w:basedOn w:val="257"/>
    <w:next w:val="246"/>
    <w:uiPriority w:val="0"/>
    <w:pPr>
      <w:autoSpaceDN w:val="0"/>
      <w:spacing w:before="50" w:beforeLines="50" w:after="50" w:afterLines="50"/>
      <w:outlineLvl w:val="2"/>
    </w:pPr>
  </w:style>
  <w:style w:type="paragraph" w:customStyle="1" w:styleId="259">
    <w:name w:val="三级条标题"/>
    <w:basedOn w:val="249"/>
    <w:next w:val="246"/>
    <w:uiPriority w:val="0"/>
    <w:pPr>
      <w:numPr>
        <w:ilvl w:val="0"/>
        <w:numId w:val="0"/>
      </w:numPr>
      <w:ind w:left="709"/>
      <w:outlineLvl w:val="4"/>
    </w:pPr>
  </w:style>
  <w:style w:type="paragraph" w:customStyle="1" w:styleId="260">
    <w:name w:val="四级条标题"/>
    <w:basedOn w:val="259"/>
    <w:next w:val="246"/>
    <w:uiPriority w:val="0"/>
    <w:pPr>
      <w:ind w:left="0"/>
      <w:outlineLvl w:val="5"/>
    </w:pPr>
  </w:style>
  <w:style w:type="paragraph" w:customStyle="1" w:styleId="261">
    <w:name w:val="五级条标题"/>
    <w:basedOn w:val="260"/>
    <w:next w:val="246"/>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305</Words>
  <Characters>1744</Characters>
  <Lines>14</Lines>
  <Paragraphs>4</Paragraphs>
  <TotalTime>7</TotalTime>
  <ScaleCrop>false</ScaleCrop>
  <LinksUpToDate>false</LinksUpToDate>
  <CharactersWithSpaces>2045</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2024-12-30T12:21:00Z</dcterms:created>
  <dc:creator>Administrator</dc:creator>
  <cp:lastModifiedBy>Administrator</cp:lastModifiedBy>
  <dcterms:modified xsi:type="dcterms:W3CDTF">2025-02-07T01:16:23Z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